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326F1" w14:textId="77777777" w:rsidR="006F575E" w:rsidRPr="003C10F7" w:rsidRDefault="006F575E" w:rsidP="006F575E">
      <w:pPr>
        <w:pStyle w:val="Body"/>
        <w:jc w:val="center"/>
        <w:rPr>
          <w:rFonts w:ascii="Arial" w:hAnsi="Arial" w:cs="Arial"/>
          <w:b/>
          <w:bCs/>
          <w:color w:val="auto"/>
          <w:sz w:val="30"/>
          <w:szCs w:val="30"/>
          <w:u w:val="single"/>
          <w:lang w:val="fr-FR"/>
        </w:rPr>
      </w:pPr>
      <w:bookmarkStart w:id="0" w:name="_GoBack"/>
      <w:bookmarkEnd w:id="0"/>
      <w:r w:rsidRPr="003C10F7">
        <w:rPr>
          <w:rFonts w:ascii="Arial" w:hAnsi="Arial" w:cs="Arial"/>
          <w:b/>
          <w:bCs/>
          <w:noProof/>
          <w:color w:val="auto"/>
          <w:sz w:val="30"/>
          <w:szCs w:val="30"/>
          <w:u w:val="single"/>
          <w:bdr w:val="none" w:sz="0" w:space="0" w:color="auto"/>
          <w:lang w:val="en-GB" w:eastAsia="zh-CN"/>
        </w:rPr>
        <w:drawing>
          <wp:anchor distT="0" distB="0" distL="114300" distR="114300" simplePos="0" relativeHeight="251659264" behindDoc="0" locked="0" layoutInCell="1" allowOverlap="1" wp14:anchorId="3FD5B33E" wp14:editId="044A28BE">
            <wp:simplePos x="0" y="0"/>
            <wp:positionH relativeFrom="column">
              <wp:posOffset>1557020</wp:posOffset>
            </wp:positionH>
            <wp:positionV relativeFrom="paragraph">
              <wp:posOffset>-114300</wp:posOffset>
            </wp:positionV>
            <wp:extent cx="2672080" cy="917575"/>
            <wp:effectExtent l="0" t="0" r="0" b="0"/>
            <wp:wrapThrough wrapText="bothSides">
              <wp:wrapPolygon edited="0">
                <wp:start x="0" y="0"/>
                <wp:lineTo x="0" y="20927"/>
                <wp:lineTo x="21354" y="20927"/>
                <wp:lineTo x="21354"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2080"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9C7A2" w14:textId="77777777" w:rsidR="006F575E" w:rsidRPr="003C10F7" w:rsidRDefault="006F575E" w:rsidP="006F575E">
      <w:pPr>
        <w:pStyle w:val="Body"/>
        <w:rPr>
          <w:rFonts w:ascii="Arial" w:hAnsi="Arial" w:cs="Arial"/>
          <w:b/>
          <w:bCs/>
          <w:color w:val="auto"/>
          <w:sz w:val="30"/>
          <w:szCs w:val="30"/>
          <w:u w:val="single"/>
          <w:lang w:val="fr-FR"/>
        </w:rPr>
      </w:pPr>
    </w:p>
    <w:p w14:paraId="41BC9B1F" w14:textId="77777777" w:rsidR="006F575E" w:rsidRPr="003C10F7" w:rsidRDefault="006F575E" w:rsidP="006F575E">
      <w:pPr>
        <w:pStyle w:val="Body"/>
        <w:rPr>
          <w:rFonts w:ascii="Arial" w:hAnsi="Arial" w:cs="Arial"/>
          <w:b/>
          <w:bCs/>
          <w:color w:val="auto"/>
          <w:sz w:val="30"/>
          <w:szCs w:val="30"/>
          <w:u w:val="single"/>
          <w:lang w:val="fr-FR"/>
        </w:rPr>
      </w:pPr>
    </w:p>
    <w:p w14:paraId="7B97C51B" w14:textId="77777777" w:rsidR="006F575E" w:rsidRPr="003C10F7" w:rsidRDefault="006F575E" w:rsidP="006F575E">
      <w:pPr>
        <w:pStyle w:val="Body"/>
        <w:rPr>
          <w:rFonts w:ascii="Arial" w:hAnsi="Arial" w:cs="Arial"/>
          <w:b/>
          <w:bCs/>
          <w:color w:val="auto"/>
          <w:sz w:val="30"/>
          <w:szCs w:val="30"/>
          <w:u w:val="single"/>
          <w:lang w:val="fr-FR"/>
        </w:rPr>
      </w:pPr>
    </w:p>
    <w:p w14:paraId="08719CA4" w14:textId="77777777" w:rsidR="006F575E" w:rsidRPr="003C10F7" w:rsidRDefault="006F575E" w:rsidP="006F575E">
      <w:pPr>
        <w:pStyle w:val="Body"/>
        <w:jc w:val="center"/>
        <w:rPr>
          <w:rFonts w:ascii="Arial" w:hAnsi="Arial" w:cs="Arial"/>
          <w:b/>
          <w:bCs/>
          <w:color w:val="auto"/>
          <w:sz w:val="30"/>
          <w:szCs w:val="30"/>
          <w:u w:val="single"/>
          <w:lang w:val="fr-FR"/>
        </w:rPr>
      </w:pPr>
    </w:p>
    <w:p w14:paraId="0992EE90" w14:textId="1E075F9A" w:rsidR="006F575E" w:rsidRPr="003C10F7" w:rsidRDefault="001B5D77" w:rsidP="006F575E">
      <w:pPr>
        <w:tabs>
          <w:tab w:val="left" w:pos="2038"/>
          <w:tab w:val="center" w:pos="4536"/>
        </w:tabs>
        <w:spacing w:after="120"/>
        <w:jc w:val="center"/>
        <w:rPr>
          <w:rFonts w:ascii="Arial" w:hAnsi="Arial" w:cs="Arial"/>
          <w:sz w:val="72"/>
          <w:szCs w:val="40"/>
          <w:lang w:val="fr-FR"/>
        </w:rPr>
      </w:pPr>
      <w:r w:rsidRPr="003C10F7">
        <w:rPr>
          <w:rFonts w:ascii="Arial" w:hAnsi="Arial" w:cs="Arial"/>
          <w:sz w:val="72"/>
          <w:szCs w:val="40"/>
          <w:lang w:val="fr-FR"/>
        </w:rPr>
        <w:t>NOTE POLITIQUE</w:t>
      </w:r>
    </w:p>
    <w:p w14:paraId="64D6B984" w14:textId="77777777" w:rsidR="006F575E" w:rsidRPr="003C10F7" w:rsidRDefault="006F575E">
      <w:pPr>
        <w:pStyle w:val="Body"/>
        <w:jc w:val="center"/>
        <w:rPr>
          <w:rFonts w:ascii="Arial" w:hAnsi="Arial" w:cs="Arial"/>
          <w:b/>
          <w:bCs/>
          <w:color w:val="auto"/>
          <w:sz w:val="24"/>
          <w:szCs w:val="24"/>
          <w:lang w:val="fr-FR"/>
        </w:rPr>
      </w:pPr>
    </w:p>
    <w:p w14:paraId="1C97E76E" w14:textId="77777777" w:rsidR="006F575E" w:rsidRPr="003C10F7" w:rsidRDefault="006F575E" w:rsidP="006F575E">
      <w:pPr>
        <w:pStyle w:val="Body"/>
        <w:jc w:val="center"/>
        <w:rPr>
          <w:rFonts w:ascii="Arial" w:hAnsi="Arial" w:cs="Arial"/>
          <w:b/>
          <w:bCs/>
          <w:color w:val="auto"/>
          <w:sz w:val="24"/>
          <w:szCs w:val="24"/>
          <w:lang w:val="fr-FR"/>
        </w:rPr>
      </w:pPr>
    </w:p>
    <w:p w14:paraId="1C029D1D" w14:textId="74BDA763" w:rsidR="001B5D77" w:rsidRPr="003C10F7" w:rsidRDefault="00D72787" w:rsidP="006F575E">
      <w:pPr>
        <w:pStyle w:val="Body"/>
        <w:jc w:val="center"/>
        <w:rPr>
          <w:rFonts w:ascii="Arial" w:hAnsi="Arial" w:cs="Arial"/>
          <w:b/>
          <w:bCs/>
          <w:color w:val="auto"/>
          <w:sz w:val="32"/>
          <w:szCs w:val="24"/>
          <w:lang w:val="fr-FR"/>
        </w:rPr>
      </w:pPr>
      <w:r w:rsidRPr="003C10F7">
        <w:rPr>
          <w:rFonts w:ascii="Arial" w:hAnsi="Arial" w:cs="Arial"/>
          <w:b/>
          <w:bCs/>
          <w:color w:val="auto"/>
          <w:sz w:val="32"/>
          <w:szCs w:val="24"/>
          <w:lang w:val="fr-FR"/>
        </w:rPr>
        <w:t>Déverrouiller le potentiel de la chaine d’approvisionnement alimentaire de l’UE</w:t>
      </w:r>
    </w:p>
    <w:p w14:paraId="1D5A9FB2" w14:textId="5880EA79" w:rsidR="001B5D77" w:rsidRPr="003C10F7" w:rsidRDefault="00D72787" w:rsidP="006F575E">
      <w:pPr>
        <w:pStyle w:val="Body"/>
        <w:jc w:val="center"/>
        <w:rPr>
          <w:rFonts w:ascii="Arial" w:hAnsi="Arial" w:cs="Arial"/>
          <w:b/>
          <w:bCs/>
          <w:color w:val="auto"/>
          <w:sz w:val="32"/>
          <w:szCs w:val="24"/>
          <w:lang w:val="fr-FR"/>
        </w:rPr>
      </w:pPr>
      <w:r w:rsidRPr="003C10F7">
        <w:rPr>
          <w:rFonts w:ascii="Arial" w:hAnsi="Arial" w:cs="Arial"/>
          <w:b/>
          <w:bCs/>
          <w:color w:val="auto"/>
          <w:sz w:val="32"/>
          <w:szCs w:val="24"/>
          <w:lang w:val="fr-FR"/>
        </w:rPr>
        <w:t>Pour une approche commune équilibrée</w:t>
      </w:r>
    </w:p>
    <w:p w14:paraId="6615A325" w14:textId="77777777" w:rsidR="001B5D77" w:rsidRPr="003C10F7" w:rsidRDefault="001B5D77" w:rsidP="006F575E">
      <w:pPr>
        <w:pStyle w:val="Body"/>
        <w:jc w:val="center"/>
        <w:rPr>
          <w:rFonts w:ascii="Arial" w:hAnsi="Arial" w:cs="Arial"/>
          <w:b/>
          <w:bCs/>
          <w:color w:val="auto"/>
          <w:sz w:val="32"/>
          <w:szCs w:val="24"/>
          <w:lang w:val="fr-FR"/>
        </w:rPr>
      </w:pPr>
    </w:p>
    <w:p w14:paraId="3C24E4FD" w14:textId="6171290F" w:rsidR="0023529E" w:rsidRDefault="00D72787" w:rsidP="006F575E">
      <w:pPr>
        <w:pStyle w:val="Body"/>
        <w:jc w:val="center"/>
        <w:rPr>
          <w:rFonts w:ascii="Arial" w:hAnsi="Arial" w:cs="Arial"/>
          <w:b/>
          <w:bCs/>
          <w:color w:val="auto"/>
          <w:sz w:val="32"/>
          <w:szCs w:val="24"/>
          <w:u w:val="single"/>
          <w:lang w:val="fr-FR"/>
        </w:rPr>
      </w:pPr>
      <w:r w:rsidRPr="003C10F7">
        <w:rPr>
          <w:rFonts w:ascii="Arial" w:hAnsi="Arial" w:cs="Arial"/>
          <w:b/>
          <w:bCs/>
          <w:color w:val="auto"/>
          <w:sz w:val="32"/>
          <w:szCs w:val="24"/>
          <w:u w:val="single"/>
          <w:lang w:val="fr-FR"/>
        </w:rPr>
        <w:t>Gérer les pratiques commerciales injustes (</w:t>
      </w:r>
      <w:proofErr w:type="spellStart"/>
      <w:r w:rsidRPr="003C10F7">
        <w:rPr>
          <w:rFonts w:ascii="Arial" w:hAnsi="Arial" w:cs="Arial"/>
          <w:b/>
          <w:bCs/>
          <w:color w:val="auto"/>
          <w:sz w:val="32"/>
          <w:szCs w:val="24"/>
          <w:u w:val="single"/>
          <w:lang w:val="fr-FR"/>
        </w:rPr>
        <w:t>UTPs</w:t>
      </w:r>
      <w:proofErr w:type="spellEnd"/>
      <w:r w:rsidRPr="003C10F7">
        <w:rPr>
          <w:rFonts w:ascii="Arial" w:hAnsi="Arial" w:cs="Arial"/>
          <w:b/>
          <w:bCs/>
          <w:color w:val="auto"/>
          <w:sz w:val="32"/>
          <w:szCs w:val="24"/>
          <w:u w:val="single"/>
          <w:lang w:val="fr-FR"/>
        </w:rPr>
        <w:t>)</w:t>
      </w:r>
    </w:p>
    <w:p w14:paraId="2A818A86" w14:textId="77777777" w:rsidR="003C10F7" w:rsidRPr="003C10F7" w:rsidRDefault="003C10F7" w:rsidP="006F575E">
      <w:pPr>
        <w:pStyle w:val="Body"/>
        <w:jc w:val="center"/>
        <w:rPr>
          <w:rFonts w:ascii="Arial" w:hAnsi="Arial" w:cs="Arial"/>
          <w:b/>
          <w:bCs/>
          <w:color w:val="auto"/>
          <w:sz w:val="32"/>
          <w:szCs w:val="24"/>
          <w:u w:val="single"/>
          <w:lang w:val="fr-FR"/>
        </w:rPr>
      </w:pPr>
    </w:p>
    <w:p w14:paraId="6E719294" w14:textId="4D59A5A8" w:rsidR="0023529E" w:rsidRPr="003C10F7" w:rsidRDefault="003C10F7" w:rsidP="001126A8">
      <w:pPr>
        <w:pStyle w:val="Body"/>
        <w:jc w:val="right"/>
        <w:rPr>
          <w:rFonts w:ascii="Arial" w:hAnsi="Arial" w:cs="Arial"/>
          <w:b/>
          <w:bCs/>
          <w:color w:val="auto"/>
          <w:sz w:val="24"/>
          <w:szCs w:val="24"/>
          <w:lang w:val="fr-FR"/>
        </w:rPr>
      </w:pPr>
      <w:r>
        <w:rPr>
          <w:rFonts w:ascii="Arial" w:hAnsi="Arial" w:cs="Arial"/>
          <w:b/>
          <w:bCs/>
          <w:color w:val="auto"/>
          <w:sz w:val="24"/>
          <w:szCs w:val="24"/>
          <w:lang w:val="fr-FR"/>
        </w:rPr>
        <w:t>Octobre</w:t>
      </w:r>
      <w:r w:rsidR="001126A8" w:rsidRPr="003C10F7">
        <w:rPr>
          <w:rFonts w:ascii="Arial" w:hAnsi="Arial" w:cs="Arial"/>
          <w:b/>
          <w:bCs/>
          <w:color w:val="auto"/>
          <w:sz w:val="24"/>
          <w:szCs w:val="24"/>
          <w:lang w:val="fr-FR"/>
        </w:rPr>
        <w:t xml:space="preserve"> 2017</w:t>
      </w:r>
    </w:p>
    <w:p w14:paraId="16111B59" w14:textId="77777777" w:rsidR="0023529E" w:rsidRPr="003C10F7" w:rsidRDefault="0023529E" w:rsidP="006F575E">
      <w:pPr>
        <w:pStyle w:val="Body"/>
        <w:jc w:val="both"/>
        <w:rPr>
          <w:rFonts w:ascii="Arial" w:hAnsi="Arial" w:cs="Arial"/>
          <w:b/>
          <w:bCs/>
          <w:color w:val="auto"/>
          <w:sz w:val="24"/>
          <w:szCs w:val="24"/>
          <w:lang w:val="fr-FR"/>
        </w:rPr>
      </w:pPr>
    </w:p>
    <w:p w14:paraId="2952E83F" w14:textId="77777777" w:rsidR="0023529E" w:rsidRPr="003C10F7" w:rsidRDefault="007664E2" w:rsidP="006F575E">
      <w:pPr>
        <w:pStyle w:val="Body"/>
        <w:jc w:val="both"/>
        <w:rPr>
          <w:rFonts w:ascii="Arial" w:hAnsi="Arial" w:cs="Arial"/>
          <w:b/>
          <w:bCs/>
          <w:color w:val="auto"/>
          <w:sz w:val="24"/>
          <w:szCs w:val="24"/>
          <w:lang w:val="fr-FR"/>
        </w:rPr>
      </w:pPr>
      <w:r w:rsidRPr="003C10F7">
        <w:rPr>
          <w:rFonts w:ascii="Arial" w:hAnsi="Arial" w:cs="Arial"/>
          <w:b/>
          <w:bCs/>
          <w:color w:val="auto"/>
          <w:sz w:val="24"/>
          <w:szCs w:val="24"/>
          <w:lang w:val="fr-FR"/>
        </w:rPr>
        <w:t>1 INTRODUCTION</w:t>
      </w:r>
    </w:p>
    <w:p w14:paraId="3DEADF92" w14:textId="67EEF756" w:rsidR="001B5D77" w:rsidRPr="003C10F7" w:rsidRDefault="001B5D77"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 xml:space="preserve">2016 a été un bon cru pour le débat autour de la chaine alimentaire au niveau européen. </w:t>
      </w:r>
      <w:r w:rsidR="00BA2165" w:rsidRPr="003C10F7">
        <w:rPr>
          <w:rFonts w:ascii="Arial" w:hAnsi="Arial" w:cs="Arial"/>
          <w:color w:val="auto"/>
          <w:sz w:val="24"/>
          <w:szCs w:val="24"/>
          <w:lang w:val="fr-FR"/>
        </w:rPr>
        <w:t>Le processus a été déclenché</w:t>
      </w:r>
      <w:r w:rsidRPr="003C10F7">
        <w:rPr>
          <w:rFonts w:ascii="Arial" w:hAnsi="Arial" w:cs="Arial"/>
          <w:color w:val="auto"/>
          <w:sz w:val="24"/>
          <w:szCs w:val="24"/>
          <w:lang w:val="fr-FR"/>
        </w:rPr>
        <w:t xml:space="preserve"> par l’AMTF, ou </w:t>
      </w:r>
      <w:proofErr w:type="spellStart"/>
      <w:r w:rsidRPr="003C10F7">
        <w:rPr>
          <w:rFonts w:ascii="Arial" w:hAnsi="Arial" w:cs="Arial"/>
          <w:color w:val="auto"/>
          <w:sz w:val="24"/>
          <w:szCs w:val="24"/>
          <w:lang w:val="fr-FR"/>
        </w:rPr>
        <w:t>Agricultutral</w:t>
      </w:r>
      <w:proofErr w:type="spellEnd"/>
      <w:r w:rsidRPr="003C10F7">
        <w:rPr>
          <w:rFonts w:ascii="Arial" w:hAnsi="Arial" w:cs="Arial"/>
          <w:color w:val="auto"/>
          <w:sz w:val="24"/>
          <w:szCs w:val="24"/>
          <w:lang w:val="fr-FR"/>
        </w:rPr>
        <w:t xml:space="preserve"> </w:t>
      </w:r>
      <w:proofErr w:type="spellStart"/>
      <w:r w:rsidRPr="003C10F7">
        <w:rPr>
          <w:rFonts w:ascii="Arial" w:hAnsi="Arial" w:cs="Arial"/>
          <w:color w:val="auto"/>
          <w:sz w:val="24"/>
          <w:szCs w:val="24"/>
          <w:lang w:val="fr-FR"/>
        </w:rPr>
        <w:t>Markets</w:t>
      </w:r>
      <w:proofErr w:type="spellEnd"/>
      <w:r w:rsidRPr="003C10F7">
        <w:rPr>
          <w:rFonts w:ascii="Arial" w:hAnsi="Arial" w:cs="Arial"/>
          <w:color w:val="auto"/>
          <w:sz w:val="24"/>
          <w:szCs w:val="24"/>
          <w:lang w:val="fr-FR"/>
        </w:rPr>
        <w:t xml:space="preserve"> </w:t>
      </w:r>
      <w:proofErr w:type="spellStart"/>
      <w:r w:rsidRPr="003C10F7">
        <w:rPr>
          <w:rFonts w:ascii="Arial" w:hAnsi="Arial" w:cs="Arial"/>
          <w:color w:val="auto"/>
          <w:sz w:val="24"/>
          <w:szCs w:val="24"/>
          <w:lang w:val="fr-FR"/>
        </w:rPr>
        <w:t>Task</w:t>
      </w:r>
      <w:proofErr w:type="spellEnd"/>
      <w:r w:rsidRPr="003C10F7">
        <w:rPr>
          <w:rFonts w:ascii="Arial" w:hAnsi="Arial" w:cs="Arial"/>
          <w:color w:val="auto"/>
          <w:sz w:val="24"/>
          <w:szCs w:val="24"/>
          <w:lang w:val="fr-FR"/>
        </w:rPr>
        <w:t xml:space="preserve"> Force, à l’initiative du Commissaire </w:t>
      </w:r>
      <w:proofErr w:type="spellStart"/>
      <w:r w:rsidRPr="003C10F7">
        <w:rPr>
          <w:rFonts w:ascii="Arial" w:hAnsi="Arial" w:cs="Arial"/>
          <w:color w:val="auto"/>
          <w:sz w:val="24"/>
          <w:szCs w:val="24"/>
          <w:lang w:val="fr-FR"/>
        </w:rPr>
        <w:t>Hogan</w:t>
      </w:r>
      <w:proofErr w:type="spellEnd"/>
      <w:r w:rsidRPr="003C10F7">
        <w:rPr>
          <w:rFonts w:ascii="Arial" w:hAnsi="Arial" w:cs="Arial"/>
          <w:color w:val="auto"/>
          <w:sz w:val="24"/>
          <w:szCs w:val="24"/>
          <w:lang w:val="fr-FR"/>
        </w:rPr>
        <w:t xml:space="preserve">. Réexaminant la place occupée par les agriculteurs </w:t>
      </w:r>
      <w:r w:rsidR="00D72787" w:rsidRPr="003C10F7">
        <w:rPr>
          <w:rFonts w:ascii="Arial" w:hAnsi="Arial" w:cs="Arial"/>
          <w:color w:val="auto"/>
          <w:sz w:val="24"/>
          <w:szCs w:val="24"/>
          <w:lang w:val="fr-FR"/>
        </w:rPr>
        <w:t>au sein de</w:t>
      </w:r>
      <w:r w:rsidRPr="003C10F7">
        <w:rPr>
          <w:rFonts w:ascii="Arial" w:hAnsi="Arial" w:cs="Arial"/>
          <w:color w:val="auto"/>
          <w:sz w:val="24"/>
          <w:szCs w:val="24"/>
          <w:lang w:val="fr-FR"/>
        </w:rPr>
        <w:t xml:space="preserve"> la chaîne d’approvisionnement, </w:t>
      </w:r>
      <w:r w:rsidR="00D72787" w:rsidRPr="003C10F7">
        <w:rPr>
          <w:rFonts w:ascii="Arial" w:hAnsi="Arial" w:cs="Arial"/>
          <w:color w:val="auto"/>
          <w:sz w:val="24"/>
          <w:szCs w:val="24"/>
          <w:lang w:val="fr-FR"/>
        </w:rPr>
        <w:t xml:space="preserve">ce groupe de travail a </w:t>
      </w:r>
      <w:r w:rsidRPr="003C10F7">
        <w:rPr>
          <w:rFonts w:ascii="Arial" w:hAnsi="Arial" w:cs="Arial"/>
          <w:color w:val="auto"/>
          <w:sz w:val="24"/>
          <w:szCs w:val="24"/>
          <w:lang w:val="fr-FR"/>
        </w:rPr>
        <w:t>émis un certain nombre de préconisations sur différents sujets, comme les pratiques commerciales en vigueur sur les marchés agricoles ou la contractualisation.</w:t>
      </w:r>
    </w:p>
    <w:p w14:paraId="5D783B9A" w14:textId="00265FA0" w:rsidR="001B5D77" w:rsidRPr="003C10F7" w:rsidRDefault="001B5D77"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Le rapport a fait l’objet de vastes débats au sein du Conseil Agricole</w:t>
      </w:r>
      <w:r w:rsidR="00F47C3F" w:rsidRPr="003C10F7">
        <w:rPr>
          <w:rFonts w:ascii="Arial" w:hAnsi="Arial" w:cs="Arial"/>
          <w:color w:val="auto"/>
          <w:sz w:val="24"/>
          <w:szCs w:val="24"/>
          <w:lang w:val="fr-FR"/>
        </w:rPr>
        <w:t xml:space="preserve"> dont les Conclusions publiées en décembre 2016 intitulées « Pour un renforcement de la place des agriculteurs dans la chaîne d’approvisionnement alimentaire et le traitement des pratiques commerciales injustes (UTP) » dénonçait clairement le </w:t>
      </w:r>
      <w:r w:rsidR="00F47C3F" w:rsidRPr="003C10F7">
        <w:rPr>
          <w:rFonts w:ascii="Arial" w:hAnsi="Arial" w:cs="Arial"/>
          <w:color w:val="auto"/>
          <w:sz w:val="24"/>
          <w:szCs w:val="24"/>
          <w:lang w:val="fr-FR"/>
        </w:rPr>
        <w:lastRenderedPageBreak/>
        <w:t>déséquilibre des négociations menant souvent à des pratiques commerciales injustes, et formulait le besoin de tous les acteurs de la chaîne de se trouver un terrain de jeu commun.</w:t>
      </w:r>
    </w:p>
    <w:p w14:paraId="415B8A82" w14:textId="3AD8C798" w:rsidR="00F47C3F" w:rsidRPr="003C10F7" w:rsidRDefault="00F47C3F"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 xml:space="preserve">L’ATMF n’a pas été le seul projet visant à améliorer </w:t>
      </w:r>
      <w:r w:rsidR="00BA3244" w:rsidRPr="003C10F7">
        <w:rPr>
          <w:rFonts w:ascii="Arial" w:hAnsi="Arial" w:cs="Arial"/>
          <w:color w:val="auto"/>
          <w:sz w:val="24"/>
          <w:szCs w:val="24"/>
          <w:lang w:val="fr-FR"/>
        </w:rPr>
        <w:t>le</w:t>
      </w:r>
      <w:r w:rsidRPr="003C10F7">
        <w:rPr>
          <w:rFonts w:ascii="Arial" w:hAnsi="Arial" w:cs="Arial"/>
          <w:color w:val="auto"/>
          <w:sz w:val="24"/>
          <w:szCs w:val="24"/>
          <w:lang w:val="fr-FR"/>
        </w:rPr>
        <w:t xml:space="preserve"> fonctionnement de la chaîne alimentaire européenne. Le Parlement </w:t>
      </w:r>
      <w:r w:rsidR="00D72787" w:rsidRPr="003C10F7">
        <w:rPr>
          <w:rFonts w:ascii="Arial" w:hAnsi="Arial" w:cs="Arial"/>
          <w:color w:val="auto"/>
          <w:sz w:val="24"/>
          <w:szCs w:val="24"/>
          <w:lang w:val="fr-FR"/>
        </w:rPr>
        <w:t>e</w:t>
      </w:r>
      <w:r w:rsidRPr="003C10F7">
        <w:rPr>
          <w:rFonts w:ascii="Arial" w:hAnsi="Arial" w:cs="Arial"/>
          <w:color w:val="auto"/>
          <w:sz w:val="24"/>
          <w:szCs w:val="24"/>
          <w:lang w:val="fr-FR"/>
        </w:rPr>
        <w:t>uropéen s’est également montré très actif en la matière, et ses der</w:t>
      </w:r>
      <w:r w:rsidR="008C1A9B" w:rsidRPr="003C10F7">
        <w:rPr>
          <w:rFonts w:ascii="Arial" w:hAnsi="Arial" w:cs="Arial"/>
          <w:color w:val="auto"/>
          <w:sz w:val="24"/>
          <w:szCs w:val="24"/>
          <w:lang w:val="fr-FR"/>
        </w:rPr>
        <w:t>n</w:t>
      </w:r>
      <w:r w:rsidRPr="003C10F7">
        <w:rPr>
          <w:rFonts w:ascii="Arial" w:hAnsi="Arial" w:cs="Arial"/>
          <w:color w:val="auto"/>
          <w:sz w:val="24"/>
          <w:szCs w:val="24"/>
          <w:lang w:val="fr-FR"/>
        </w:rPr>
        <w:t xml:space="preserve">ières </w:t>
      </w:r>
      <w:r w:rsidR="00D72787" w:rsidRPr="003C10F7">
        <w:rPr>
          <w:rFonts w:ascii="Arial" w:hAnsi="Arial" w:cs="Arial"/>
          <w:color w:val="auto"/>
          <w:sz w:val="24"/>
          <w:szCs w:val="24"/>
          <w:lang w:val="fr-FR"/>
        </w:rPr>
        <w:t xml:space="preserve">positions </w:t>
      </w:r>
      <w:r w:rsidRPr="003C10F7">
        <w:rPr>
          <w:rFonts w:ascii="Arial" w:hAnsi="Arial" w:cs="Arial"/>
          <w:color w:val="auto"/>
          <w:sz w:val="24"/>
          <w:szCs w:val="24"/>
          <w:lang w:val="fr-FR"/>
        </w:rPr>
        <w:t xml:space="preserve">ont été adoptées en juin 2016 avec une </w:t>
      </w:r>
      <w:r w:rsidR="008C1A9B" w:rsidRPr="003C10F7">
        <w:rPr>
          <w:rFonts w:ascii="Arial" w:hAnsi="Arial" w:cs="Arial"/>
          <w:color w:val="auto"/>
          <w:sz w:val="24"/>
          <w:szCs w:val="24"/>
          <w:lang w:val="fr-FR"/>
        </w:rPr>
        <w:t>nouvelle résolution sur les « Prat</w:t>
      </w:r>
      <w:r w:rsidRPr="003C10F7">
        <w:rPr>
          <w:rFonts w:ascii="Arial" w:hAnsi="Arial" w:cs="Arial"/>
          <w:color w:val="auto"/>
          <w:sz w:val="24"/>
          <w:szCs w:val="24"/>
          <w:lang w:val="fr-FR"/>
        </w:rPr>
        <w:t>iques Commerciales Injustes</w:t>
      </w:r>
      <w:r w:rsidR="008C1A9B" w:rsidRPr="003C10F7">
        <w:rPr>
          <w:rFonts w:ascii="Arial" w:hAnsi="Arial" w:cs="Arial"/>
          <w:color w:val="auto"/>
          <w:sz w:val="24"/>
          <w:szCs w:val="24"/>
          <w:lang w:val="fr-FR"/>
        </w:rPr>
        <w:t> » au sein de la Chaîne d’Approvisionnement Européenne qui plaide ouvertement en faveur de l’établissement d’un cadre juridique européen permettant de traiter les pratiques injustes.</w:t>
      </w:r>
      <w:r w:rsidR="00D72787" w:rsidRPr="003C10F7">
        <w:rPr>
          <w:rFonts w:ascii="Arial" w:hAnsi="Arial" w:cs="Arial"/>
          <w:color w:val="auto"/>
          <w:sz w:val="24"/>
          <w:szCs w:val="24"/>
          <w:lang w:val="fr-FR"/>
        </w:rPr>
        <w:t xml:space="preserve"> De même, plus récemment, des avancées considérables ont été faites, sous l’impulsion du Parlement européen, au-delà des pratiques commerciales, dans le cadre de l’Omnibus règlementaire en matière de structuration de la chaine alimentaire, tant au sein des Organisations de Producteurs que des Organisations Interprofessionnelles. </w:t>
      </w:r>
    </w:p>
    <w:p w14:paraId="22769217" w14:textId="3290F062" w:rsidR="008C1A9B" w:rsidRPr="003C10F7" w:rsidRDefault="008C1A9B"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Dans le même ordre d’idée, le Comité Economique et Social Européen est venu renforcer la résolution du Parlement Européen avec son Avis d’octobre 2016 adopté en session plénière (« Pour une chaîne d’approvisionnement agro-alimentaire plus juste) insistant sur la nécessité de définir une législation cadre au niveau européen et d’agir sans attendre pour prévenir les p</w:t>
      </w:r>
      <w:r w:rsidR="00792AAC" w:rsidRPr="003C10F7">
        <w:rPr>
          <w:rFonts w:ascii="Arial" w:hAnsi="Arial" w:cs="Arial"/>
          <w:color w:val="auto"/>
          <w:sz w:val="24"/>
          <w:szCs w:val="24"/>
          <w:lang w:val="fr-FR"/>
        </w:rPr>
        <w:t>ratiques commerciales injustes.</w:t>
      </w:r>
    </w:p>
    <w:p w14:paraId="6E90B02C" w14:textId="074B18BE" w:rsidR="00792AAC" w:rsidRPr="003C10F7" w:rsidRDefault="00792AAC"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 xml:space="preserve">Dans ce contexte, </w:t>
      </w:r>
      <w:r w:rsidR="00D72787" w:rsidRPr="003C10F7">
        <w:rPr>
          <w:rFonts w:ascii="Arial" w:hAnsi="Arial" w:cs="Arial"/>
          <w:color w:val="auto"/>
          <w:sz w:val="24"/>
          <w:szCs w:val="24"/>
          <w:lang w:val="fr-FR"/>
        </w:rPr>
        <w:t>il est attendu</w:t>
      </w:r>
      <w:r w:rsidRPr="003C10F7">
        <w:rPr>
          <w:rFonts w:ascii="Arial" w:hAnsi="Arial" w:cs="Arial"/>
          <w:color w:val="auto"/>
          <w:sz w:val="24"/>
          <w:szCs w:val="24"/>
          <w:lang w:val="fr-FR"/>
        </w:rPr>
        <w:t xml:space="preserve"> de la Commission qu’elle revienne avec un projet dans les mois prochain</w:t>
      </w:r>
      <w:r w:rsidR="007E27A0" w:rsidRPr="003C10F7">
        <w:rPr>
          <w:rFonts w:ascii="Arial" w:hAnsi="Arial" w:cs="Arial"/>
          <w:color w:val="auto"/>
          <w:sz w:val="24"/>
          <w:szCs w:val="24"/>
          <w:lang w:val="fr-FR"/>
        </w:rPr>
        <w:t>s</w:t>
      </w:r>
      <w:r w:rsidRPr="003C10F7">
        <w:rPr>
          <w:rFonts w:ascii="Arial" w:hAnsi="Arial" w:cs="Arial"/>
          <w:color w:val="auto"/>
          <w:sz w:val="24"/>
          <w:szCs w:val="24"/>
          <w:lang w:val="fr-FR"/>
        </w:rPr>
        <w:t xml:space="preserve"> et qu’elle réponde à la fois aux acteurs et aux institutions sur la manière de rééquilibrer les relations entre les différents maillons de la chaîne alimentaire, déverrouillant ainsi le potentiel de l’ensemble à l’intérieur d’un cadre règlementaire commun et explicite.</w:t>
      </w:r>
    </w:p>
    <w:p w14:paraId="0AC43382" w14:textId="63D87B3A" w:rsidR="00792AAC" w:rsidRPr="003C10F7" w:rsidRDefault="00792AAC"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Ce papier est la contribution de Farm Europe à ce débat, que l’on veut ouvrir largement dans le but d’améliorer sur le long terme la structure de cette chaîne de valeur ajoutée qui occupe toujours la première place dans l’économie européenne.</w:t>
      </w:r>
    </w:p>
    <w:p w14:paraId="3BF76EE1" w14:textId="77777777" w:rsidR="0023529E" w:rsidRPr="003C10F7" w:rsidRDefault="0023529E" w:rsidP="006F575E">
      <w:pPr>
        <w:pStyle w:val="Body"/>
        <w:jc w:val="both"/>
        <w:rPr>
          <w:rFonts w:ascii="Arial" w:hAnsi="Arial" w:cs="Arial"/>
          <w:color w:val="auto"/>
          <w:sz w:val="24"/>
          <w:szCs w:val="24"/>
          <w:lang w:val="fr-FR"/>
        </w:rPr>
      </w:pPr>
    </w:p>
    <w:p w14:paraId="210F9AC3" w14:textId="5317F25A" w:rsidR="00792AAC" w:rsidRPr="003C10F7" w:rsidRDefault="00AF11EB" w:rsidP="006F575E">
      <w:pPr>
        <w:pStyle w:val="Body"/>
        <w:jc w:val="both"/>
        <w:rPr>
          <w:rFonts w:ascii="Arial" w:hAnsi="Arial" w:cs="Arial"/>
          <w:b/>
          <w:bCs/>
          <w:color w:val="auto"/>
          <w:sz w:val="24"/>
          <w:szCs w:val="24"/>
          <w:lang w:val="fr-FR"/>
        </w:rPr>
      </w:pPr>
      <w:r w:rsidRPr="003C10F7">
        <w:rPr>
          <w:rFonts w:ascii="Arial" w:hAnsi="Arial" w:cs="Arial"/>
          <w:b/>
          <w:bCs/>
          <w:color w:val="auto"/>
          <w:sz w:val="24"/>
          <w:szCs w:val="24"/>
          <w:lang w:val="fr-FR"/>
        </w:rPr>
        <w:t>2. POURQUOI UN NOUVEAU CADRAGE ? A QUELS RESULTATS EST-ON</w:t>
      </w:r>
      <w:r w:rsidR="00BA3244" w:rsidRPr="003C10F7">
        <w:rPr>
          <w:rFonts w:ascii="Arial" w:hAnsi="Arial" w:cs="Arial"/>
          <w:b/>
          <w:bCs/>
          <w:color w:val="auto"/>
          <w:sz w:val="24"/>
          <w:szCs w:val="24"/>
          <w:lang w:val="fr-FR"/>
        </w:rPr>
        <w:t xml:space="preserve"> DÉJÀ</w:t>
      </w:r>
      <w:r w:rsidRPr="003C10F7">
        <w:rPr>
          <w:rFonts w:ascii="Arial" w:hAnsi="Arial" w:cs="Arial"/>
          <w:b/>
          <w:bCs/>
          <w:color w:val="auto"/>
          <w:sz w:val="24"/>
          <w:szCs w:val="24"/>
          <w:lang w:val="fr-FR"/>
        </w:rPr>
        <w:t xml:space="preserve"> PARVENU ?</w:t>
      </w:r>
    </w:p>
    <w:p w14:paraId="168A9B46" w14:textId="0604E789" w:rsidR="00AF11EB" w:rsidRPr="003C10F7" w:rsidRDefault="00AF11EB"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Les discussions sur le besoin de rééquilibrer les relations au sein de la chaîne alimentaire ne sont pas nouvelles à l’échelon européen. Toutes les institutions y ont participé, au gré des initiatives des différents acteurs</w:t>
      </w:r>
      <w:r w:rsidR="007E27A0" w:rsidRPr="003C10F7">
        <w:rPr>
          <w:rFonts w:ascii="Arial" w:hAnsi="Arial" w:cs="Arial"/>
          <w:color w:val="auto"/>
          <w:sz w:val="24"/>
          <w:szCs w:val="24"/>
          <w:lang w:val="fr-FR"/>
        </w:rPr>
        <w:t>.</w:t>
      </w:r>
      <w:r w:rsidRPr="003C10F7">
        <w:rPr>
          <w:rFonts w:ascii="Arial" w:hAnsi="Arial" w:cs="Arial"/>
          <w:color w:val="auto"/>
          <w:sz w:val="24"/>
          <w:szCs w:val="24"/>
          <w:lang w:val="fr-FR"/>
        </w:rPr>
        <w:t xml:space="preserve"> </w:t>
      </w:r>
      <w:r w:rsidR="007E27A0" w:rsidRPr="003C10F7">
        <w:rPr>
          <w:rFonts w:ascii="Arial" w:hAnsi="Arial" w:cs="Arial"/>
          <w:color w:val="auto"/>
          <w:sz w:val="24"/>
          <w:szCs w:val="24"/>
          <w:lang w:val="fr-FR"/>
        </w:rPr>
        <w:t>M</w:t>
      </w:r>
      <w:r w:rsidRPr="003C10F7">
        <w:rPr>
          <w:rFonts w:ascii="Arial" w:hAnsi="Arial" w:cs="Arial"/>
          <w:color w:val="auto"/>
          <w:sz w:val="24"/>
          <w:szCs w:val="24"/>
          <w:lang w:val="fr-FR"/>
        </w:rPr>
        <w:t>ais cela ne s’est jamais soldé par des mesures concrètes.</w:t>
      </w:r>
    </w:p>
    <w:p w14:paraId="398B17F7" w14:textId="2B24296E" w:rsidR="00AF11EB" w:rsidRPr="003C10F7" w:rsidRDefault="00AF11EB"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Bien au contraire. En 2013, sept associations européennes, sous l’impulsion du Commissaire Verheugen, ont lancé la SCI (</w:t>
      </w:r>
      <w:proofErr w:type="spellStart"/>
      <w:r w:rsidRPr="003C10F7">
        <w:rPr>
          <w:rFonts w:ascii="Arial" w:hAnsi="Arial" w:cs="Arial"/>
          <w:color w:val="auto"/>
          <w:sz w:val="24"/>
          <w:szCs w:val="24"/>
          <w:lang w:val="fr-FR"/>
        </w:rPr>
        <w:t>Supply</w:t>
      </w:r>
      <w:proofErr w:type="spellEnd"/>
      <w:r w:rsidRPr="003C10F7">
        <w:rPr>
          <w:rFonts w:ascii="Arial" w:hAnsi="Arial" w:cs="Arial"/>
          <w:color w:val="auto"/>
          <w:sz w:val="24"/>
          <w:szCs w:val="24"/>
          <w:lang w:val="fr-FR"/>
        </w:rPr>
        <w:t xml:space="preserve"> Chain Initiative ou Projet de gestion de la chaîne logistique), initia</w:t>
      </w:r>
      <w:r w:rsidR="0022756B" w:rsidRPr="003C10F7">
        <w:rPr>
          <w:rFonts w:ascii="Arial" w:hAnsi="Arial" w:cs="Arial"/>
          <w:color w:val="auto"/>
          <w:sz w:val="24"/>
          <w:szCs w:val="24"/>
          <w:lang w:val="fr-FR"/>
        </w:rPr>
        <w:t>ti</w:t>
      </w:r>
      <w:r w:rsidRPr="003C10F7">
        <w:rPr>
          <w:rFonts w:ascii="Arial" w:hAnsi="Arial" w:cs="Arial"/>
          <w:color w:val="auto"/>
          <w:sz w:val="24"/>
          <w:szCs w:val="24"/>
          <w:lang w:val="fr-FR"/>
        </w:rPr>
        <w:t>ve privée sur la base du volontariat</w:t>
      </w:r>
      <w:r w:rsidR="0022756B" w:rsidRPr="003C10F7">
        <w:rPr>
          <w:rFonts w:ascii="Arial" w:hAnsi="Arial" w:cs="Arial"/>
          <w:color w:val="auto"/>
          <w:sz w:val="24"/>
          <w:szCs w:val="24"/>
          <w:lang w:val="fr-FR"/>
        </w:rPr>
        <w:t xml:space="preserve"> dont </w:t>
      </w:r>
      <w:r w:rsidR="0022756B" w:rsidRPr="003C10F7">
        <w:rPr>
          <w:rFonts w:ascii="Arial" w:hAnsi="Arial" w:cs="Arial"/>
          <w:color w:val="auto"/>
          <w:sz w:val="24"/>
          <w:szCs w:val="24"/>
          <w:lang w:val="fr-FR"/>
        </w:rPr>
        <w:lastRenderedPageBreak/>
        <w:t xml:space="preserve">le but </w:t>
      </w:r>
      <w:r w:rsidR="007E27A0" w:rsidRPr="003C10F7">
        <w:rPr>
          <w:rFonts w:ascii="Arial" w:hAnsi="Arial" w:cs="Arial"/>
          <w:color w:val="auto"/>
          <w:sz w:val="24"/>
          <w:szCs w:val="24"/>
          <w:lang w:val="fr-FR"/>
        </w:rPr>
        <w:t>était</w:t>
      </w:r>
      <w:r w:rsidR="0022756B" w:rsidRPr="003C10F7">
        <w:rPr>
          <w:rFonts w:ascii="Arial" w:hAnsi="Arial" w:cs="Arial"/>
          <w:color w:val="auto"/>
          <w:sz w:val="24"/>
          <w:szCs w:val="24"/>
          <w:lang w:val="fr-FR"/>
        </w:rPr>
        <w:t xml:space="preserve"> d’améliorer l’équité des rapports commerciaux dans l’ensemble de la chaîne alimentaire. </w:t>
      </w:r>
    </w:p>
    <w:p w14:paraId="5D39BAE8" w14:textId="32A2226A" w:rsidR="0022756B" w:rsidRPr="003C10F7" w:rsidRDefault="0022756B"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Depuis lors, on a pu constater certaines avancées dans la promotion des changements culturels ou dans l’amélioration de l’éthique des affaires, mais on a également relevé un certain nombre de manquements dans l’analyse de sa mise en œuvre e</w:t>
      </w:r>
      <w:r w:rsidR="000F77C0" w:rsidRPr="003C10F7">
        <w:rPr>
          <w:rFonts w:ascii="Arial" w:hAnsi="Arial" w:cs="Arial"/>
          <w:color w:val="auto"/>
          <w:sz w:val="24"/>
          <w:szCs w:val="24"/>
          <w:lang w:val="fr-FR"/>
        </w:rPr>
        <w:t>ffective : f</w:t>
      </w:r>
      <w:r w:rsidRPr="003C10F7">
        <w:rPr>
          <w:rFonts w:ascii="Arial" w:hAnsi="Arial" w:cs="Arial"/>
          <w:color w:val="auto"/>
          <w:sz w:val="24"/>
          <w:szCs w:val="24"/>
          <w:lang w:val="fr-FR"/>
        </w:rPr>
        <w:t>aiblesse dans la gouvernance, défaut de transparence, manque de mesures contraignantes ou de pénalités, peu de barrières efficaces contre les pratiques commerciales injustes et impossibilité pour les victimes potentielles de déposer plainte de manière anonyme, aucune procédure d’investigation réalisée par un organisme indépendant et sous-représentation des PME et des agriculteurs</w:t>
      </w:r>
      <w:r w:rsidR="000F77C0" w:rsidRPr="003C10F7">
        <w:rPr>
          <w:rFonts w:ascii="Arial" w:hAnsi="Arial" w:cs="Arial"/>
          <w:color w:val="auto"/>
          <w:sz w:val="24"/>
          <w:szCs w:val="24"/>
          <w:lang w:val="fr-FR"/>
        </w:rPr>
        <w:t>.</w:t>
      </w:r>
    </w:p>
    <w:p w14:paraId="557F52E3" w14:textId="7609A732" w:rsidR="000F77C0" w:rsidRPr="003C10F7" w:rsidRDefault="000F77C0"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D’autre part, un regard neuf sur ce qui se passe au niveau national peut nous donner une meilleure idée du cadre dans lequel le débat européen se déroule.</w:t>
      </w:r>
    </w:p>
    <w:p w14:paraId="2A499B7A" w14:textId="3A0015B7" w:rsidR="000F77C0" w:rsidRPr="003C10F7" w:rsidRDefault="000F77C0"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 xml:space="preserve">Il est très clair que les premiers problèmes dans ce domaine sont apparus au niveau des </w:t>
      </w:r>
      <w:r w:rsidR="007E27A0" w:rsidRPr="003C10F7">
        <w:rPr>
          <w:rFonts w:ascii="Arial" w:hAnsi="Arial" w:cs="Arial"/>
          <w:color w:val="auto"/>
          <w:sz w:val="24"/>
          <w:szCs w:val="24"/>
          <w:lang w:val="fr-FR"/>
        </w:rPr>
        <w:t>E</w:t>
      </w:r>
      <w:r w:rsidRPr="003C10F7">
        <w:rPr>
          <w:rFonts w:ascii="Arial" w:hAnsi="Arial" w:cs="Arial"/>
          <w:color w:val="auto"/>
          <w:sz w:val="24"/>
          <w:szCs w:val="24"/>
          <w:lang w:val="fr-FR"/>
        </w:rPr>
        <w:t>tats membres</w:t>
      </w:r>
      <w:r w:rsidR="007E27A0" w:rsidRPr="003C10F7">
        <w:rPr>
          <w:rFonts w:ascii="Arial" w:hAnsi="Arial" w:cs="Arial"/>
          <w:color w:val="auto"/>
          <w:sz w:val="24"/>
          <w:szCs w:val="24"/>
          <w:lang w:val="fr-FR"/>
        </w:rPr>
        <w:t>.</w:t>
      </w:r>
      <w:r w:rsidRPr="003C10F7">
        <w:rPr>
          <w:rFonts w:ascii="Arial" w:hAnsi="Arial" w:cs="Arial"/>
          <w:color w:val="auto"/>
          <w:sz w:val="24"/>
          <w:szCs w:val="24"/>
          <w:lang w:val="fr-FR"/>
        </w:rPr>
        <w:t xml:space="preserve"> </w:t>
      </w:r>
      <w:r w:rsidR="007E27A0" w:rsidRPr="003C10F7">
        <w:rPr>
          <w:rFonts w:ascii="Arial" w:hAnsi="Arial" w:cs="Arial"/>
          <w:color w:val="auto"/>
          <w:sz w:val="24"/>
          <w:szCs w:val="24"/>
          <w:lang w:val="fr-FR"/>
        </w:rPr>
        <w:t>T</w:t>
      </w:r>
      <w:r w:rsidRPr="003C10F7">
        <w:rPr>
          <w:rFonts w:ascii="Arial" w:hAnsi="Arial" w:cs="Arial"/>
          <w:color w:val="auto"/>
          <w:sz w:val="24"/>
          <w:szCs w:val="24"/>
          <w:lang w:val="fr-FR"/>
        </w:rPr>
        <w:t xml:space="preserve">ous ont activement recherché des solutions, d’une manière ou d’une autre. Pour résumer ce qui se passe dans les différents </w:t>
      </w:r>
      <w:r w:rsidR="00B823AD" w:rsidRPr="003C10F7">
        <w:rPr>
          <w:rFonts w:ascii="Arial" w:hAnsi="Arial" w:cs="Arial"/>
          <w:color w:val="auto"/>
          <w:sz w:val="24"/>
          <w:szCs w:val="24"/>
          <w:lang w:val="fr-FR"/>
        </w:rPr>
        <w:t>E</w:t>
      </w:r>
      <w:r w:rsidRPr="003C10F7">
        <w:rPr>
          <w:rFonts w:ascii="Arial" w:hAnsi="Arial" w:cs="Arial"/>
          <w:color w:val="auto"/>
          <w:sz w:val="24"/>
          <w:szCs w:val="24"/>
          <w:lang w:val="fr-FR"/>
        </w:rPr>
        <w:t>tats membres, il convient d’établir un certain nombre de distinctions :</w:t>
      </w:r>
    </w:p>
    <w:p w14:paraId="69DAFA91" w14:textId="2B047DAC" w:rsidR="0023529E" w:rsidRPr="003C10F7" w:rsidRDefault="00417FAC" w:rsidP="00B823AD">
      <w:pPr>
        <w:pStyle w:val="ListParagraph"/>
        <w:numPr>
          <w:ilvl w:val="0"/>
          <w:numId w:val="4"/>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 xml:space="preserve">Quatre types de modèles coexistent : régulation (RU, Espagne, </w:t>
      </w:r>
      <w:proofErr w:type="gramStart"/>
      <w:r w:rsidRPr="003C10F7">
        <w:rPr>
          <w:rFonts w:ascii="Arial" w:hAnsi="Arial" w:cs="Arial"/>
          <w:color w:val="auto"/>
          <w:sz w:val="24"/>
          <w:szCs w:val="24"/>
          <w:lang w:val="fr-FR"/>
        </w:rPr>
        <w:t>Italie,…</w:t>
      </w:r>
      <w:proofErr w:type="gramEnd"/>
      <w:r w:rsidRPr="003C10F7">
        <w:rPr>
          <w:rFonts w:ascii="Arial" w:hAnsi="Arial" w:cs="Arial"/>
          <w:color w:val="auto"/>
          <w:sz w:val="24"/>
          <w:szCs w:val="24"/>
          <w:lang w:val="fr-FR"/>
        </w:rPr>
        <w:t xml:space="preserve">), autorégulation (Belgique), régulation mixte (Espagne, RU), régulation horizontale et pays dénués de </w:t>
      </w:r>
      <w:r w:rsidR="00B823AD" w:rsidRPr="003C10F7">
        <w:rPr>
          <w:rFonts w:ascii="Arial" w:hAnsi="Arial" w:cs="Arial"/>
          <w:color w:val="auto"/>
          <w:sz w:val="24"/>
          <w:szCs w:val="24"/>
          <w:lang w:val="fr-FR"/>
        </w:rPr>
        <w:t xml:space="preserve">toute </w:t>
      </w:r>
      <w:r w:rsidRPr="003C10F7">
        <w:rPr>
          <w:rFonts w:ascii="Arial" w:hAnsi="Arial" w:cs="Arial"/>
          <w:color w:val="auto"/>
          <w:sz w:val="24"/>
          <w:szCs w:val="24"/>
          <w:lang w:val="fr-FR"/>
        </w:rPr>
        <w:t xml:space="preserve">régulation spécifique des pratiques commerciales </w:t>
      </w:r>
      <w:r w:rsidR="00B823AD" w:rsidRPr="003C10F7">
        <w:rPr>
          <w:rFonts w:ascii="Arial" w:hAnsi="Arial" w:cs="Arial"/>
          <w:color w:val="auto"/>
          <w:sz w:val="24"/>
          <w:szCs w:val="24"/>
          <w:lang w:val="fr-FR"/>
        </w:rPr>
        <w:t>déloyales</w:t>
      </w:r>
      <w:r w:rsidRPr="003C10F7">
        <w:rPr>
          <w:rFonts w:ascii="Arial" w:hAnsi="Arial" w:cs="Arial"/>
          <w:color w:val="auto"/>
          <w:sz w:val="24"/>
          <w:szCs w:val="24"/>
          <w:lang w:val="fr-FR"/>
        </w:rPr>
        <w:t xml:space="preserve"> (Danemark, Suède, Luxembourg,…)</w:t>
      </w:r>
    </w:p>
    <w:p w14:paraId="10CB71AF" w14:textId="30C10CA8" w:rsidR="0023529E" w:rsidRPr="003C10F7" w:rsidRDefault="00417FAC" w:rsidP="006F575E">
      <w:pPr>
        <w:pStyle w:val="ListParagraph"/>
        <w:numPr>
          <w:ilvl w:val="0"/>
          <w:numId w:val="5"/>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 xml:space="preserve">Lorsque la régulation est cadrée et contrôlée par les autorités, le travail est fait </w:t>
      </w:r>
      <w:r w:rsidR="00B823AD" w:rsidRPr="003C10F7">
        <w:rPr>
          <w:rFonts w:ascii="Arial" w:hAnsi="Arial" w:cs="Arial"/>
          <w:color w:val="auto"/>
          <w:sz w:val="24"/>
          <w:szCs w:val="24"/>
          <w:lang w:val="fr-FR"/>
        </w:rPr>
        <w:t>soit</w:t>
      </w:r>
      <w:r w:rsidRPr="003C10F7">
        <w:rPr>
          <w:rFonts w:ascii="Arial" w:hAnsi="Arial" w:cs="Arial"/>
          <w:color w:val="auto"/>
          <w:sz w:val="24"/>
          <w:szCs w:val="24"/>
          <w:lang w:val="fr-FR"/>
        </w:rPr>
        <w:t xml:space="preserve"> par le min</w:t>
      </w:r>
      <w:r w:rsidR="00AC55B2" w:rsidRPr="003C10F7">
        <w:rPr>
          <w:rFonts w:ascii="Arial" w:hAnsi="Arial" w:cs="Arial"/>
          <w:color w:val="auto"/>
          <w:sz w:val="24"/>
          <w:szCs w:val="24"/>
          <w:lang w:val="fr-FR"/>
        </w:rPr>
        <w:t>i</w:t>
      </w:r>
      <w:r w:rsidRPr="003C10F7">
        <w:rPr>
          <w:rFonts w:ascii="Arial" w:hAnsi="Arial" w:cs="Arial"/>
          <w:color w:val="auto"/>
          <w:sz w:val="24"/>
          <w:szCs w:val="24"/>
          <w:lang w:val="fr-FR"/>
        </w:rPr>
        <w:t>stère des finances (France)</w:t>
      </w:r>
      <w:r w:rsidR="00B823AD" w:rsidRPr="003C10F7">
        <w:rPr>
          <w:rFonts w:ascii="Arial" w:hAnsi="Arial" w:cs="Arial"/>
          <w:color w:val="auto"/>
          <w:sz w:val="24"/>
          <w:szCs w:val="24"/>
          <w:lang w:val="fr-FR"/>
        </w:rPr>
        <w:t xml:space="preserve">, soit </w:t>
      </w:r>
      <w:r w:rsidRPr="003C10F7">
        <w:rPr>
          <w:rFonts w:ascii="Arial" w:hAnsi="Arial" w:cs="Arial"/>
          <w:color w:val="auto"/>
          <w:sz w:val="24"/>
          <w:szCs w:val="24"/>
          <w:lang w:val="fr-FR"/>
        </w:rPr>
        <w:t xml:space="preserve">par les autorités de la concurrence </w:t>
      </w:r>
      <w:r w:rsidR="00AC55B2" w:rsidRPr="003C10F7">
        <w:rPr>
          <w:rFonts w:ascii="Arial" w:hAnsi="Arial" w:cs="Arial"/>
          <w:color w:val="auto"/>
          <w:sz w:val="24"/>
          <w:szCs w:val="24"/>
          <w:lang w:val="fr-FR"/>
        </w:rPr>
        <w:t>(Allema</w:t>
      </w:r>
      <w:r w:rsidRPr="003C10F7">
        <w:rPr>
          <w:rFonts w:ascii="Arial" w:hAnsi="Arial" w:cs="Arial"/>
          <w:color w:val="auto"/>
          <w:sz w:val="24"/>
          <w:szCs w:val="24"/>
          <w:lang w:val="fr-FR"/>
        </w:rPr>
        <w:t>gne)</w:t>
      </w:r>
      <w:r w:rsidR="00AC55B2" w:rsidRPr="003C10F7">
        <w:rPr>
          <w:rFonts w:ascii="Arial" w:hAnsi="Arial" w:cs="Arial"/>
          <w:color w:val="auto"/>
          <w:sz w:val="24"/>
          <w:szCs w:val="24"/>
          <w:lang w:val="fr-FR"/>
        </w:rPr>
        <w:t xml:space="preserve">, </w:t>
      </w:r>
      <w:r w:rsidR="00B823AD" w:rsidRPr="003C10F7">
        <w:rPr>
          <w:rFonts w:ascii="Arial" w:hAnsi="Arial" w:cs="Arial"/>
          <w:color w:val="auto"/>
          <w:sz w:val="24"/>
          <w:szCs w:val="24"/>
          <w:lang w:val="fr-FR"/>
        </w:rPr>
        <w:t xml:space="preserve">soit par </w:t>
      </w:r>
      <w:r w:rsidR="00AC55B2" w:rsidRPr="003C10F7">
        <w:rPr>
          <w:rFonts w:ascii="Arial" w:hAnsi="Arial" w:cs="Arial"/>
          <w:color w:val="auto"/>
          <w:sz w:val="24"/>
          <w:szCs w:val="24"/>
          <w:lang w:val="fr-FR"/>
        </w:rPr>
        <w:t>le</w:t>
      </w:r>
      <w:r w:rsidR="00B823AD" w:rsidRPr="003C10F7">
        <w:rPr>
          <w:rFonts w:ascii="Arial" w:hAnsi="Arial" w:cs="Arial"/>
          <w:color w:val="auto"/>
          <w:sz w:val="24"/>
          <w:szCs w:val="24"/>
          <w:lang w:val="fr-FR"/>
        </w:rPr>
        <w:t>s</w:t>
      </w:r>
      <w:r w:rsidR="00AC55B2" w:rsidRPr="003C10F7">
        <w:rPr>
          <w:rFonts w:ascii="Arial" w:hAnsi="Arial" w:cs="Arial"/>
          <w:color w:val="auto"/>
          <w:sz w:val="24"/>
          <w:szCs w:val="24"/>
          <w:lang w:val="fr-FR"/>
        </w:rPr>
        <w:t xml:space="preserve"> </w:t>
      </w:r>
      <w:r w:rsidR="00BA2165" w:rsidRPr="003C10F7">
        <w:rPr>
          <w:rFonts w:ascii="Arial" w:hAnsi="Arial" w:cs="Arial"/>
          <w:color w:val="auto"/>
          <w:sz w:val="24"/>
          <w:szCs w:val="24"/>
          <w:lang w:val="fr-FR"/>
        </w:rPr>
        <w:t>ministère</w:t>
      </w:r>
      <w:r w:rsidR="00B823AD" w:rsidRPr="003C10F7">
        <w:rPr>
          <w:rFonts w:ascii="Arial" w:hAnsi="Arial" w:cs="Arial"/>
          <w:color w:val="auto"/>
          <w:sz w:val="24"/>
          <w:szCs w:val="24"/>
          <w:lang w:val="fr-FR"/>
        </w:rPr>
        <w:t>s</w:t>
      </w:r>
      <w:r w:rsidR="00AC55B2" w:rsidRPr="003C10F7">
        <w:rPr>
          <w:rFonts w:ascii="Arial" w:hAnsi="Arial" w:cs="Arial"/>
          <w:color w:val="auto"/>
          <w:sz w:val="24"/>
          <w:szCs w:val="24"/>
          <w:lang w:val="fr-FR"/>
        </w:rPr>
        <w:t xml:space="preserve"> de la sécurité alimentaire et de l’économie (Portugal) ou de l’agriculture (Espagne).</w:t>
      </w:r>
      <w:r w:rsidRPr="003C10F7">
        <w:rPr>
          <w:rFonts w:ascii="Arial" w:hAnsi="Arial" w:cs="Arial"/>
          <w:color w:val="auto"/>
          <w:sz w:val="24"/>
          <w:szCs w:val="24"/>
          <w:lang w:val="fr-FR"/>
        </w:rPr>
        <w:t xml:space="preserve"> </w:t>
      </w:r>
      <w:r w:rsidR="007664E2" w:rsidRPr="003C10F7">
        <w:rPr>
          <w:rFonts w:ascii="Arial" w:eastAsia="Times New Roman" w:hAnsi="Arial" w:cs="Arial"/>
          <w:color w:val="auto"/>
          <w:sz w:val="24"/>
          <w:szCs w:val="24"/>
          <w:vertAlign w:val="superscript"/>
          <w:lang w:val="fr-FR"/>
        </w:rPr>
        <w:footnoteReference w:id="2"/>
      </w:r>
    </w:p>
    <w:p w14:paraId="2C740A64" w14:textId="3957EBAC" w:rsidR="0023529E" w:rsidRPr="003C10F7" w:rsidRDefault="00AC55B2"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Néanmoins, à la lumière des faits, on peut conclure qu’en dépit des efforts déployés, l’</w:t>
      </w:r>
      <w:proofErr w:type="spellStart"/>
      <w:r w:rsidRPr="003C10F7">
        <w:rPr>
          <w:rFonts w:ascii="Arial" w:hAnsi="Arial" w:cs="Arial"/>
          <w:color w:val="auto"/>
          <w:sz w:val="24"/>
          <w:szCs w:val="24"/>
          <w:lang w:val="fr-FR"/>
        </w:rPr>
        <w:t>auto-régulation</w:t>
      </w:r>
      <w:proofErr w:type="spellEnd"/>
      <w:r w:rsidRPr="003C10F7">
        <w:rPr>
          <w:rFonts w:ascii="Arial" w:hAnsi="Arial" w:cs="Arial"/>
          <w:color w:val="auto"/>
          <w:sz w:val="24"/>
          <w:szCs w:val="24"/>
          <w:lang w:val="fr-FR"/>
        </w:rPr>
        <w:t xml:space="preserve"> </w:t>
      </w:r>
      <w:r w:rsidR="008C786E" w:rsidRPr="003C10F7">
        <w:rPr>
          <w:rFonts w:ascii="Arial" w:hAnsi="Arial" w:cs="Arial"/>
          <w:color w:val="auto"/>
          <w:sz w:val="24"/>
          <w:szCs w:val="24"/>
          <w:lang w:val="fr-FR"/>
        </w:rPr>
        <w:t>ou les approches basées sur le v</w:t>
      </w:r>
      <w:r w:rsidRPr="003C10F7">
        <w:rPr>
          <w:rFonts w:ascii="Arial" w:hAnsi="Arial" w:cs="Arial"/>
          <w:color w:val="auto"/>
          <w:sz w:val="24"/>
          <w:szCs w:val="24"/>
          <w:lang w:val="fr-FR"/>
        </w:rPr>
        <w:t>olontariat ne suffisent pas à rétablir l’équilibre dans la chaîne alimentaire</w:t>
      </w:r>
      <w:r w:rsidR="00015B25" w:rsidRPr="003C10F7">
        <w:rPr>
          <w:rFonts w:ascii="Arial" w:hAnsi="Arial" w:cs="Arial"/>
          <w:color w:val="auto"/>
          <w:sz w:val="24"/>
          <w:szCs w:val="24"/>
          <w:lang w:val="fr-FR"/>
        </w:rPr>
        <w:t>, et – plus grave encore – les disparités entre les systèmes nationaux en vigueur ne permettent pas aux acteurs de se retrouver sur un pied d’égalité et nuisent au bon fonctionnement du marché intérieur, alors que, dans le même temps, la fragmentation des marchés soumet les opérateurs de la chaîne d’approvisionnement à des contraintes différentes, à un cadre règlementaire peu fiable et relativement inefficace.</w:t>
      </w:r>
    </w:p>
    <w:p w14:paraId="7ABF7684" w14:textId="7CF901DE" w:rsidR="0023529E" w:rsidRPr="003C10F7" w:rsidRDefault="007664E2" w:rsidP="003C10F7">
      <w:pPr>
        <w:pStyle w:val="Body"/>
        <w:jc w:val="both"/>
        <w:rPr>
          <w:rFonts w:ascii="Arial" w:hAnsi="Arial" w:cs="Arial"/>
          <w:b/>
          <w:bCs/>
          <w:color w:val="auto"/>
          <w:sz w:val="24"/>
          <w:szCs w:val="24"/>
          <w:lang w:val="fr-FR"/>
        </w:rPr>
      </w:pPr>
      <w:r w:rsidRPr="003C10F7">
        <w:rPr>
          <w:rFonts w:ascii="Arial" w:hAnsi="Arial" w:cs="Arial"/>
          <w:b/>
          <w:bCs/>
          <w:color w:val="auto"/>
          <w:sz w:val="24"/>
          <w:szCs w:val="24"/>
          <w:lang w:val="fr-FR"/>
        </w:rPr>
        <w:lastRenderedPageBreak/>
        <w:t xml:space="preserve">3. </w:t>
      </w:r>
      <w:r w:rsidR="00015B25" w:rsidRPr="003C10F7">
        <w:rPr>
          <w:rFonts w:ascii="Arial" w:hAnsi="Arial" w:cs="Arial"/>
          <w:b/>
          <w:bCs/>
          <w:color w:val="auto"/>
          <w:sz w:val="24"/>
          <w:szCs w:val="24"/>
          <w:lang w:val="fr-FR"/>
        </w:rPr>
        <w:t>UN ENSEMBLE DE PROPOSITIONS CONCRETES</w:t>
      </w:r>
    </w:p>
    <w:p w14:paraId="1E329E24" w14:textId="14A6958F" w:rsidR="0023529E" w:rsidRPr="003C10F7" w:rsidRDefault="00015B25" w:rsidP="003C10F7">
      <w:pPr>
        <w:pStyle w:val="Body"/>
        <w:jc w:val="both"/>
        <w:rPr>
          <w:rFonts w:ascii="Arial" w:hAnsi="Arial" w:cs="Arial"/>
          <w:color w:val="auto"/>
          <w:sz w:val="24"/>
          <w:szCs w:val="24"/>
          <w:lang w:val="fr-FR"/>
        </w:rPr>
      </w:pPr>
      <w:r w:rsidRPr="003C10F7">
        <w:rPr>
          <w:rFonts w:ascii="Arial" w:hAnsi="Arial" w:cs="Arial"/>
          <w:color w:val="auto"/>
          <w:sz w:val="24"/>
          <w:szCs w:val="24"/>
          <w:lang w:val="fr-FR"/>
        </w:rPr>
        <w:t>Si l’Europe veut une chaîne alimentaire forte et équilibrée, capable de se partager équitablement la valeur ajoutée, à même de renfo</w:t>
      </w:r>
      <w:r w:rsidR="00BA2165" w:rsidRPr="003C10F7">
        <w:rPr>
          <w:rFonts w:ascii="Arial" w:hAnsi="Arial" w:cs="Arial"/>
          <w:color w:val="auto"/>
          <w:sz w:val="24"/>
          <w:szCs w:val="24"/>
          <w:lang w:val="fr-FR"/>
        </w:rPr>
        <w:t>r</w:t>
      </w:r>
      <w:r w:rsidRPr="003C10F7">
        <w:rPr>
          <w:rFonts w:ascii="Arial" w:hAnsi="Arial" w:cs="Arial"/>
          <w:color w:val="auto"/>
          <w:sz w:val="24"/>
          <w:szCs w:val="24"/>
          <w:lang w:val="fr-FR"/>
        </w:rPr>
        <w:t>cer la place des producteurs</w:t>
      </w:r>
      <w:r w:rsidR="00BA2165" w:rsidRPr="003C10F7">
        <w:rPr>
          <w:rFonts w:ascii="Arial" w:hAnsi="Arial" w:cs="Arial"/>
          <w:color w:val="auto"/>
          <w:sz w:val="24"/>
          <w:szCs w:val="24"/>
          <w:lang w:val="fr-FR"/>
        </w:rPr>
        <w:t>,</w:t>
      </w:r>
      <w:r w:rsidRPr="003C10F7">
        <w:rPr>
          <w:rFonts w:ascii="Arial" w:hAnsi="Arial" w:cs="Arial"/>
          <w:color w:val="auto"/>
          <w:sz w:val="24"/>
          <w:szCs w:val="24"/>
          <w:lang w:val="fr-FR"/>
        </w:rPr>
        <w:t xml:space="preserve"> qui sont le maillon le plus fragile, et de générer de la richesse jusqu’au niveau </w:t>
      </w:r>
      <w:r w:rsidR="001A10A4" w:rsidRPr="003C10F7">
        <w:rPr>
          <w:rFonts w:ascii="Arial" w:hAnsi="Arial" w:cs="Arial"/>
          <w:color w:val="auto"/>
          <w:sz w:val="24"/>
          <w:szCs w:val="24"/>
          <w:lang w:val="fr-FR"/>
        </w:rPr>
        <w:t>des</w:t>
      </w:r>
      <w:r w:rsidRPr="003C10F7">
        <w:rPr>
          <w:rFonts w:ascii="Arial" w:hAnsi="Arial" w:cs="Arial"/>
          <w:color w:val="auto"/>
          <w:sz w:val="24"/>
          <w:szCs w:val="24"/>
          <w:lang w:val="fr-FR"/>
        </w:rPr>
        <w:t xml:space="preserve"> consommateur</w:t>
      </w:r>
      <w:r w:rsidR="001A10A4" w:rsidRPr="003C10F7">
        <w:rPr>
          <w:rFonts w:ascii="Arial" w:hAnsi="Arial" w:cs="Arial"/>
          <w:color w:val="auto"/>
          <w:sz w:val="24"/>
          <w:szCs w:val="24"/>
          <w:lang w:val="fr-FR"/>
        </w:rPr>
        <w:t>s</w:t>
      </w:r>
      <w:r w:rsidRPr="003C10F7">
        <w:rPr>
          <w:rFonts w:ascii="Arial" w:hAnsi="Arial" w:cs="Arial"/>
          <w:color w:val="auto"/>
          <w:sz w:val="24"/>
          <w:szCs w:val="24"/>
          <w:lang w:val="fr-FR"/>
        </w:rPr>
        <w:t xml:space="preserve">, la Commission </w:t>
      </w:r>
      <w:r w:rsidR="00275CC8" w:rsidRPr="003C10F7">
        <w:rPr>
          <w:rFonts w:ascii="Arial" w:hAnsi="Arial" w:cs="Arial"/>
          <w:color w:val="auto"/>
          <w:sz w:val="24"/>
          <w:szCs w:val="24"/>
          <w:lang w:val="fr-FR"/>
        </w:rPr>
        <w:t>doit proposer un cadrage commun sur quelques</w:t>
      </w:r>
      <w:r w:rsidR="00410584" w:rsidRPr="003C10F7">
        <w:rPr>
          <w:rFonts w:ascii="Arial" w:hAnsi="Arial" w:cs="Arial"/>
          <w:color w:val="auto"/>
          <w:sz w:val="24"/>
          <w:szCs w:val="24"/>
          <w:lang w:val="fr-FR"/>
        </w:rPr>
        <w:t>-</w:t>
      </w:r>
      <w:r w:rsidR="00275CC8" w:rsidRPr="003C10F7">
        <w:rPr>
          <w:rFonts w:ascii="Arial" w:hAnsi="Arial" w:cs="Arial"/>
          <w:color w:val="auto"/>
          <w:sz w:val="24"/>
          <w:szCs w:val="24"/>
          <w:lang w:val="fr-FR"/>
        </w:rPr>
        <w:t>unes de ces questions au moins.</w:t>
      </w:r>
    </w:p>
    <w:p w14:paraId="16E98C0B" w14:textId="55C43CCE" w:rsidR="0023529E" w:rsidRPr="003C10F7" w:rsidRDefault="00275CC8" w:rsidP="003C10F7">
      <w:pPr>
        <w:pStyle w:val="Body"/>
        <w:jc w:val="both"/>
        <w:rPr>
          <w:rFonts w:ascii="Arial" w:hAnsi="Arial" w:cs="Arial"/>
          <w:color w:val="auto"/>
          <w:sz w:val="24"/>
          <w:szCs w:val="24"/>
          <w:lang w:val="fr-FR"/>
        </w:rPr>
      </w:pPr>
      <w:r w:rsidRPr="003C10F7">
        <w:rPr>
          <w:rFonts w:ascii="Arial" w:hAnsi="Arial" w:cs="Arial"/>
          <w:color w:val="auto"/>
          <w:sz w:val="24"/>
          <w:szCs w:val="24"/>
          <w:lang w:val="fr-FR"/>
        </w:rPr>
        <w:t>Les questions centrales devraient être celles-ci :</w:t>
      </w:r>
    </w:p>
    <w:p w14:paraId="18AE47FB" w14:textId="645D8AF8" w:rsidR="0023529E" w:rsidRPr="003C10F7" w:rsidRDefault="00BA2165" w:rsidP="006F575E">
      <w:pPr>
        <w:pStyle w:val="ListParagraph"/>
        <w:numPr>
          <w:ilvl w:val="0"/>
          <w:numId w:val="8"/>
        </w:numPr>
        <w:tabs>
          <w:tab w:val="clear" w:pos="720"/>
          <w:tab w:val="num" w:pos="690"/>
        </w:tabs>
        <w:ind w:left="690" w:hanging="330"/>
        <w:jc w:val="both"/>
        <w:rPr>
          <w:rFonts w:ascii="Arial" w:eastAsia="Trebuchet MS" w:hAnsi="Arial" w:cs="Arial"/>
          <w:b/>
          <w:bCs/>
          <w:color w:val="auto"/>
          <w:sz w:val="24"/>
          <w:szCs w:val="24"/>
          <w:lang w:val="fr-FR"/>
        </w:rPr>
      </w:pPr>
      <w:r w:rsidRPr="003C10F7">
        <w:rPr>
          <w:rFonts w:ascii="Arial" w:hAnsi="Arial" w:cs="Arial"/>
          <w:b/>
          <w:bCs/>
          <w:color w:val="auto"/>
          <w:sz w:val="24"/>
          <w:szCs w:val="24"/>
          <w:lang w:val="fr-FR"/>
        </w:rPr>
        <w:t xml:space="preserve">Définition d’un </w:t>
      </w:r>
      <w:r w:rsidR="00275CC8" w:rsidRPr="003C10F7">
        <w:rPr>
          <w:rFonts w:ascii="Arial" w:hAnsi="Arial" w:cs="Arial"/>
          <w:b/>
          <w:bCs/>
          <w:color w:val="auto"/>
          <w:sz w:val="24"/>
          <w:szCs w:val="24"/>
          <w:lang w:val="fr-FR"/>
        </w:rPr>
        <w:t>éventail de principes régissant les relations commerciales au sein de la chaîne alimentaire.</w:t>
      </w:r>
    </w:p>
    <w:p w14:paraId="0580B3DE" w14:textId="0B88E8D2" w:rsidR="00275CC8" w:rsidRPr="003C10F7" w:rsidRDefault="00275CC8" w:rsidP="006F575E">
      <w:pPr>
        <w:pStyle w:val="Body"/>
        <w:ind w:left="720"/>
        <w:jc w:val="both"/>
        <w:rPr>
          <w:rFonts w:ascii="Arial" w:hAnsi="Arial" w:cs="Arial"/>
          <w:color w:val="auto"/>
          <w:sz w:val="24"/>
          <w:szCs w:val="24"/>
          <w:lang w:val="fr-FR"/>
        </w:rPr>
      </w:pPr>
      <w:r w:rsidRPr="003C10F7">
        <w:rPr>
          <w:rFonts w:ascii="Arial" w:hAnsi="Arial" w:cs="Arial"/>
          <w:color w:val="auto"/>
          <w:sz w:val="24"/>
          <w:szCs w:val="24"/>
          <w:lang w:val="fr-FR"/>
        </w:rPr>
        <w:t>Ces relations au sein de la chaîne alimentaire sont triples : 1) producteur-industrie 2) producteur-distributeur 3)</w:t>
      </w:r>
      <w:r w:rsidR="001A10A4" w:rsidRPr="003C10F7">
        <w:rPr>
          <w:rFonts w:ascii="Arial" w:hAnsi="Arial" w:cs="Arial"/>
          <w:color w:val="auto"/>
          <w:sz w:val="24"/>
          <w:szCs w:val="24"/>
          <w:lang w:val="fr-FR"/>
        </w:rPr>
        <w:t xml:space="preserve"> </w:t>
      </w:r>
      <w:r w:rsidRPr="003C10F7">
        <w:rPr>
          <w:rFonts w:ascii="Arial" w:hAnsi="Arial" w:cs="Arial"/>
          <w:color w:val="auto"/>
          <w:sz w:val="24"/>
          <w:szCs w:val="24"/>
          <w:lang w:val="fr-FR"/>
        </w:rPr>
        <w:t>industrie-distribution</w:t>
      </w:r>
    </w:p>
    <w:p w14:paraId="04965470" w14:textId="49C849A9" w:rsidR="00275CC8" w:rsidRPr="003C10F7" w:rsidRDefault="00275CC8" w:rsidP="006F575E">
      <w:pPr>
        <w:pStyle w:val="Body"/>
        <w:ind w:left="720"/>
        <w:jc w:val="both"/>
        <w:rPr>
          <w:rFonts w:ascii="Arial" w:hAnsi="Arial" w:cs="Arial"/>
          <w:color w:val="auto"/>
          <w:sz w:val="24"/>
          <w:szCs w:val="24"/>
          <w:lang w:val="fr-FR"/>
        </w:rPr>
      </w:pPr>
      <w:r w:rsidRPr="003C10F7">
        <w:rPr>
          <w:rFonts w:ascii="Arial" w:hAnsi="Arial" w:cs="Arial"/>
          <w:color w:val="auto"/>
          <w:sz w:val="24"/>
          <w:szCs w:val="24"/>
          <w:lang w:val="fr-FR"/>
        </w:rPr>
        <w:t>Les relations seront à chaque fois régies par des principes d’équilibre et de réciprocité entre les parties, de liberté d’entente, de bonne volonté, de promotion de l’intérêt commun, de répartition juste des risques et des responsabilités, de coopération, de transparence et de respect  de la libre concurrence sur le marché.</w:t>
      </w:r>
    </w:p>
    <w:p w14:paraId="00D0B04C" w14:textId="24BDEA52" w:rsidR="001A10A4" w:rsidRPr="003C10F7" w:rsidRDefault="00275CC8" w:rsidP="003C10F7">
      <w:pPr>
        <w:pStyle w:val="ListParagraph"/>
        <w:numPr>
          <w:ilvl w:val="0"/>
          <w:numId w:val="8"/>
        </w:numPr>
        <w:tabs>
          <w:tab w:val="clear" w:pos="720"/>
          <w:tab w:val="num" w:pos="690"/>
        </w:tabs>
        <w:ind w:left="690" w:hanging="330"/>
        <w:jc w:val="both"/>
        <w:rPr>
          <w:rFonts w:ascii="Arial" w:hAnsi="Arial" w:cs="Arial"/>
          <w:color w:val="auto"/>
          <w:sz w:val="24"/>
          <w:szCs w:val="24"/>
          <w:lang w:val="fr-FR"/>
        </w:rPr>
      </w:pPr>
      <w:r w:rsidRPr="003C10F7">
        <w:rPr>
          <w:rFonts w:ascii="Arial" w:hAnsi="Arial" w:cs="Arial"/>
          <w:b/>
          <w:bCs/>
          <w:color w:val="auto"/>
          <w:sz w:val="24"/>
          <w:szCs w:val="24"/>
          <w:lang w:val="fr-FR"/>
        </w:rPr>
        <w:t>Identification des pratiques injustes devant être écartées des usages commerciaux.</w:t>
      </w:r>
      <w:r w:rsidR="00A65910" w:rsidRPr="003C10F7">
        <w:rPr>
          <w:rFonts w:ascii="Arial" w:hAnsi="Arial" w:cs="Arial"/>
          <w:color w:val="auto"/>
          <w:sz w:val="24"/>
          <w:szCs w:val="24"/>
          <w:lang w:val="fr-FR"/>
        </w:rPr>
        <w:t xml:space="preserve"> </w:t>
      </w:r>
    </w:p>
    <w:p w14:paraId="58B7310C" w14:textId="6E62A9AB" w:rsidR="0023529E" w:rsidRPr="003C10F7" w:rsidRDefault="00275CC8" w:rsidP="003C10F7">
      <w:pPr>
        <w:pStyle w:val="ListParagraph"/>
        <w:ind w:left="690"/>
        <w:jc w:val="both"/>
        <w:rPr>
          <w:rFonts w:ascii="Arial" w:hAnsi="Arial" w:cs="Arial"/>
          <w:color w:val="auto"/>
          <w:sz w:val="24"/>
          <w:szCs w:val="24"/>
          <w:lang w:val="fr-FR"/>
        </w:rPr>
      </w:pPr>
      <w:r w:rsidRPr="003C10F7">
        <w:rPr>
          <w:rFonts w:ascii="Arial" w:hAnsi="Arial" w:cs="Arial"/>
          <w:color w:val="auto"/>
          <w:sz w:val="24"/>
          <w:szCs w:val="24"/>
          <w:lang w:val="fr-FR"/>
        </w:rPr>
        <w:t xml:space="preserve">On a beaucoup publié sur les pratiques commerciales injustes </w:t>
      </w:r>
      <w:r w:rsidR="00A65910" w:rsidRPr="003C10F7">
        <w:rPr>
          <w:rFonts w:ascii="Arial" w:hAnsi="Arial" w:cs="Arial"/>
          <w:color w:val="auto"/>
          <w:sz w:val="24"/>
          <w:szCs w:val="24"/>
          <w:lang w:val="fr-FR"/>
        </w:rPr>
        <w:t>et on les définit de manière générale comme l’ensemble des pratiques imposées à un fournisseur ne respectant pas le principe d’équité dans la relation contractuelle, transférant les déficiences ou les risques sans la moindre compensation.</w:t>
      </w:r>
      <w:r w:rsidR="007664E2" w:rsidRPr="003C10F7">
        <w:rPr>
          <w:rFonts w:ascii="Arial" w:hAnsi="Arial" w:cs="Arial"/>
          <w:color w:val="auto"/>
          <w:sz w:val="24"/>
          <w:szCs w:val="24"/>
          <w:lang w:val="fr-FR"/>
        </w:rPr>
        <w:t xml:space="preserve"> </w:t>
      </w:r>
    </w:p>
    <w:p w14:paraId="06E171B4" w14:textId="5A13FC7B" w:rsidR="0023529E" w:rsidRPr="003C10F7" w:rsidRDefault="007664E2"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 xml:space="preserve">            </w:t>
      </w:r>
      <w:r w:rsidR="00A65910" w:rsidRPr="003C10F7">
        <w:rPr>
          <w:rFonts w:ascii="Arial" w:hAnsi="Arial" w:cs="Arial"/>
          <w:color w:val="auto"/>
          <w:sz w:val="24"/>
          <w:szCs w:val="24"/>
          <w:lang w:val="fr-FR"/>
        </w:rPr>
        <w:t xml:space="preserve">Ce descriptif très général inclut les domaines suivants </w:t>
      </w:r>
      <w:r w:rsidRPr="003C10F7">
        <w:rPr>
          <w:rFonts w:ascii="Arial" w:hAnsi="Arial" w:cs="Arial"/>
          <w:color w:val="auto"/>
          <w:sz w:val="24"/>
          <w:szCs w:val="24"/>
          <w:lang w:val="fr-FR"/>
        </w:rPr>
        <w:t>:</w:t>
      </w:r>
    </w:p>
    <w:p w14:paraId="198E144B" w14:textId="4BC9E229" w:rsidR="00A65910" w:rsidRPr="003C10F7" w:rsidRDefault="00A65910" w:rsidP="006F575E">
      <w:pPr>
        <w:pStyle w:val="ListParagraph"/>
        <w:numPr>
          <w:ilvl w:val="0"/>
          <w:numId w:val="9"/>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Les changements unilatéraux ou rétroactifs des termes de l’accord (concernant les volumes, les critères de qualité, les prix),</w:t>
      </w:r>
    </w:p>
    <w:p w14:paraId="0371611C" w14:textId="1AF612D1" w:rsidR="0023529E" w:rsidRPr="003C10F7" w:rsidRDefault="00E745D8" w:rsidP="006F575E">
      <w:pPr>
        <w:pStyle w:val="ListParagraph"/>
        <w:numPr>
          <w:ilvl w:val="0"/>
          <w:numId w:val="10"/>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C</w:t>
      </w:r>
      <w:r w:rsidR="00A65910" w:rsidRPr="003C10F7">
        <w:rPr>
          <w:rFonts w:ascii="Arial" w:hAnsi="Arial" w:cs="Arial"/>
          <w:color w:val="auto"/>
          <w:sz w:val="24"/>
          <w:szCs w:val="24"/>
          <w:lang w:val="fr-FR"/>
        </w:rPr>
        <w:t>oûts commerciaux non anticipés</w:t>
      </w:r>
      <w:r w:rsidR="007664E2" w:rsidRPr="003C10F7">
        <w:rPr>
          <w:rFonts w:ascii="Arial" w:hAnsi="Arial" w:cs="Arial"/>
          <w:color w:val="auto"/>
          <w:sz w:val="24"/>
          <w:szCs w:val="24"/>
          <w:lang w:val="fr-FR"/>
        </w:rPr>
        <w:t>,</w:t>
      </w:r>
    </w:p>
    <w:p w14:paraId="2FA70F8B" w14:textId="6D3CA02F" w:rsidR="0023529E" w:rsidRPr="003C10F7" w:rsidRDefault="00E745D8" w:rsidP="006F575E">
      <w:pPr>
        <w:pStyle w:val="ListParagraph"/>
        <w:numPr>
          <w:ilvl w:val="0"/>
          <w:numId w:val="11"/>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F</w:t>
      </w:r>
      <w:r w:rsidR="00A65910" w:rsidRPr="003C10F7">
        <w:rPr>
          <w:rFonts w:ascii="Arial" w:hAnsi="Arial" w:cs="Arial"/>
          <w:color w:val="auto"/>
          <w:sz w:val="24"/>
          <w:szCs w:val="24"/>
          <w:lang w:val="fr-FR"/>
        </w:rPr>
        <w:t>acturation de services fictifs</w:t>
      </w:r>
      <w:r w:rsidR="007664E2" w:rsidRPr="003C10F7">
        <w:rPr>
          <w:rFonts w:ascii="Arial" w:hAnsi="Arial" w:cs="Arial"/>
          <w:color w:val="auto"/>
          <w:sz w:val="24"/>
          <w:szCs w:val="24"/>
          <w:lang w:val="fr-FR"/>
        </w:rPr>
        <w:t>,</w:t>
      </w:r>
    </w:p>
    <w:p w14:paraId="370C0CF5" w14:textId="49DA171F" w:rsidR="0023529E" w:rsidRPr="003C10F7" w:rsidRDefault="00A65910" w:rsidP="006F575E">
      <w:pPr>
        <w:pStyle w:val="ListParagraph"/>
        <w:numPr>
          <w:ilvl w:val="0"/>
          <w:numId w:val="12"/>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Transfert de</w:t>
      </w:r>
      <w:r w:rsidR="00BA3244" w:rsidRPr="003C10F7">
        <w:rPr>
          <w:rFonts w:ascii="Arial" w:hAnsi="Arial" w:cs="Arial"/>
          <w:color w:val="auto"/>
          <w:sz w:val="24"/>
          <w:szCs w:val="24"/>
          <w:lang w:val="fr-FR"/>
        </w:rPr>
        <w:t xml:space="preserve"> </w:t>
      </w:r>
      <w:r w:rsidRPr="003C10F7">
        <w:rPr>
          <w:rFonts w:ascii="Arial" w:hAnsi="Arial" w:cs="Arial"/>
          <w:color w:val="auto"/>
          <w:sz w:val="24"/>
          <w:szCs w:val="24"/>
          <w:lang w:val="fr-FR"/>
        </w:rPr>
        <w:t>la charge des opérations promotionnelles sur le fournisseur sans négociation ou sans participation de l’acheteur,</w:t>
      </w:r>
    </w:p>
    <w:p w14:paraId="6459D517" w14:textId="4EB5D767" w:rsidR="0023529E" w:rsidRPr="003C10F7" w:rsidRDefault="00A65910" w:rsidP="006F575E">
      <w:pPr>
        <w:pStyle w:val="ListParagraph"/>
        <w:numPr>
          <w:ilvl w:val="0"/>
          <w:numId w:val="13"/>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Reprise sans condition de la marchandise invendue</w:t>
      </w:r>
    </w:p>
    <w:p w14:paraId="6550B523" w14:textId="31156DC6" w:rsidR="0023529E" w:rsidRPr="003C10F7" w:rsidRDefault="00E745D8" w:rsidP="006F575E">
      <w:pPr>
        <w:pStyle w:val="ListParagraph"/>
        <w:numPr>
          <w:ilvl w:val="0"/>
          <w:numId w:val="14"/>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 xml:space="preserve">Non respect des délais de paiement définis par la </w:t>
      </w:r>
      <w:r w:rsidR="007664E2" w:rsidRPr="003C10F7">
        <w:rPr>
          <w:rFonts w:ascii="Arial" w:hAnsi="Arial" w:cs="Arial"/>
          <w:color w:val="auto"/>
          <w:sz w:val="24"/>
          <w:szCs w:val="24"/>
          <w:lang w:val="fr-FR"/>
        </w:rPr>
        <w:t>Directive 2011/7/EU,</w:t>
      </w:r>
    </w:p>
    <w:p w14:paraId="6441DB20" w14:textId="76D186CE" w:rsidR="0023529E" w:rsidRPr="003C10F7" w:rsidRDefault="00E745D8" w:rsidP="006F575E">
      <w:pPr>
        <w:pStyle w:val="ListParagraph"/>
        <w:numPr>
          <w:ilvl w:val="0"/>
          <w:numId w:val="15"/>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Annulation de contrat injustifiée et sans préavis</w:t>
      </w:r>
    </w:p>
    <w:p w14:paraId="76ABFADF" w14:textId="77777777" w:rsidR="00E745D8" w:rsidRPr="003C10F7" w:rsidRDefault="00E745D8" w:rsidP="006F575E">
      <w:pPr>
        <w:pStyle w:val="ListParagraph"/>
        <w:numPr>
          <w:ilvl w:val="0"/>
          <w:numId w:val="16"/>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t xml:space="preserve">Enchères électroniques discriminatoires ou dénuées de transparence </w:t>
      </w:r>
    </w:p>
    <w:p w14:paraId="4D804B8B" w14:textId="712C8E84" w:rsidR="0023529E" w:rsidRPr="003C10F7" w:rsidRDefault="00E745D8" w:rsidP="006F575E">
      <w:pPr>
        <w:pStyle w:val="ListParagraph"/>
        <w:numPr>
          <w:ilvl w:val="0"/>
          <w:numId w:val="16"/>
        </w:numPr>
        <w:tabs>
          <w:tab w:val="clear" w:pos="960"/>
          <w:tab w:val="num" w:pos="930"/>
        </w:tabs>
        <w:ind w:left="930" w:hanging="330"/>
        <w:jc w:val="both"/>
        <w:rPr>
          <w:rFonts w:ascii="Arial" w:hAnsi="Arial" w:cs="Arial"/>
          <w:color w:val="auto"/>
          <w:lang w:val="fr-FR"/>
        </w:rPr>
      </w:pPr>
      <w:r w:rsidRPr="003C10F7">
        <w:rPr>
          <w:rFonts w:ascii="Arial" w:hAnsi="Arial" w:cs="Arial"/>
          <w:color w:val="auto"/>
          <w:sz w:val="24"/>
          <w:szCs w:val="24"/>
          <w:lang w:val="fr-FR"/>
        </w:rPr>
        <w:lastRenderedPageBreak/>
        <w:t>Avances sur factures en garantie des contrats</w:t>
      </w:r>
    </w:p>
    <w:p w14:paraId="7AB9FFA1" w14:textId="77777777" w:rsidR="0023529E" w:rsidRPr="003C10F7" w:rsidRDefault="0023529E" w:rsidP="006F575E">
      <w:pPr>
        <w:pStyle w:val="ListParagraph"/>
        <w:ind w:left="600"/>
        <w:jc w:val="both"/>
        <w:rPr>
          <w:rFonts w:ascii="Arial" w:hAnsi="Arial" w:cs="Arial"/>
          <w:color w:val="auto"/>
          <w:sz w:val="24"/>
          <w:szCs w:val="24"/>
          <w:lang w:val="fr-FR"/>
        </w:rPr>
      </w:pPr>
    </w:p>
    <w:p w14:paraId="55E0879F" w14:textId="043B305A" w:rsidR="001A10A4" w:rsidRPr="003C10F7" w:rsidRDefault="00BA2165" w:rsidP="003C10F7">
      <w:pPr>
        <w:pStyle w:val="ListParagraph"/>
        <w:numPr>
          <w:ilvl w:val="0"/>
          <w:numId w:val="8"/>
        </w:numPr>
        <w:tabs>
          <w:tab w:val="clear" w:pos="720"/>
          <w:tab w:val="num" w:pos="690"/>
        </w:tabs>
        <w:ind w:left="690" w:hanging="330"/>
        <w:jc w:val="both"/>
        <w:rPr>
          <w:rFonts w:ascii="Arial" w:hAnsi="Arial" w:cs="Arial"/>
          <w:color w:val="auto"/>
          <w:sz w:val="24"/>
          <w:szCs w:val="24"/>
          <w:lang w:val="fr-FR"/>
        </w:rPr>
      </w:pPr>
      <w:r w:rsidRPr="003C10F7">
        <w:rPr>
          <w:rFonts w:ascii="Arial" w:hAnsi="Arial" w:cs="Arial"/>
          <w:b/>
          <w:bCs/>
          <w:color w:val="auto"/>
          <w:sz w:val="24"/>
          <w:szCs w:val="24"/>
          <w:lang w:val="fr-FR"/>
        </w:rPr>
        <w:t>C</w:t>
      </w:r>
      <w:r w:rsidR="00E745D8" w:rsidRPr="003C10F7">
        <w:rPr>
          <w:rFonts w:ascii="Arial" w:hAnsi="Arial" w:cs="Arial"/>
          <w:b/>
          <w:bCs/>
          <w:color w:val="auto"/>
          <w:sz w:val="24"/>
          <w:szCs w:val="24"/>
          <w:lang w:val="fr-FR"/>
        </w:rPr>
        <w:t>ontrats écrits</w:t>
      </w:r>
      <w:r w:rsidR="007664E2" w:rsidRPr="003C10F7">
        <w:rPr>
          <w:rFonts w:ascii="Arial" w:hAnsi="Arial" w:cs="Arial"/>
          <w:color w:val="auto"/>
          <w:sz w:val="24"/>
          <w:szCs w:val="24"/>
          <w:lang w:val="fr-FR"/>
        </w:rPr>
        <w:t xml:space="preserve">. </w:t>
      </w:r>
    </w:p>
    <w:p w14:paraId="4C90B860" w14:textId="35B0CACF" w:rsidR="0023529E" w:rsidRPr="003C10F7" w:rsidRDefault="00E745D8" w:rsidP="003C10F7">
      <w:pPr>
        <w:pStyle w:val="ListParagraph"/>
        <w:ind w:left="690"/>
        <w:jc w:val="both"/>
        <w:rPr>
          <w:rFonts w:ascii="Arial" w:hAnsi="Arial" w:cs="Arial"/>
          <w:color w:val="auto"/>
          <w:sz w:val="24"/>
          <w:szCs w:val="24"/>
          <w:lang w:val="fr-FR"/>
        </w:rPr>
      </w:pPr>
      <w:r w:rsidRPr="003C10F7">
        <w:rPr>
          <w:rFonts w:ascii="Arial" w:hAnsi="Arial" w:cs="Arial"/>
          <w:color w:val="auto"/>
          <w:sz w:val="24"/>
          <w:szCs w:val="24"/>
          <w:lang w:val="fr-FR"/>
        </w:rPr>
        <w:t>Aujourd’hui, les relations commerciales imposent la prise en compte d’un ensemble de facteurs complexes – qualité, quantité, prix, rabais, logistique et transport, conditions de livraison…</w:t>
      </w:r>
      <w:r w:rsidR="001A10A4" w:rsidRPr="003C10F7">
        <w:rPr>
          <w:rFonts w:ascii="Arial" w:hAnsi="Arial" w:cs="Arial"/>
          <w:color w:val="auto"/>
          <w:sz w:val="24"/>
          <w:szCs w:val="24"/>
          <w:lang w:val="fr-FR"/>
        </w:rPr>
        <w:t xml:space="preserve"> </w:t>
      </w:r>
      <w:r w:rsidRPr="003C10F7">
        <w:rPr>
          <w:rFonts w:ascii="Arial" w:hAnsi="Arial" w:cs="Arial"/>
          <w:color w:val="auto"/>
          <w:sz w:val="24"/>
          <w:szCs w:val="24"/>
          <w:lang w:val="fr-FR"/>
        </w:rPr>
        <w:t xml:space="preserve">qui ne </w:t>
      </w:r>
      <w:r w:rsidR="0072650B" w:rsidRPr="003C10F7">
        <w:rPr>
          <w:rFonts w:ascii="Arial" w:hAnsi="Arial" w:cs="Arial"/>
          <w:color w:val="auto"/>
          <w:sz w:val="24"/>
          <w:szCs w:val="24"/>
          <w:lang w:val="fr-FR"/>
        </w:rPr>
        <w:t xml:space="preserve">peuvent être laissés au hasard. De plus, la clarté dans les conditions conditionne la fiabilité et la stabilité des relations et limite le nombre de recours juridiques. Nous proposons de faire des contrats écrits une règle générale s’appliquant aux divers maillons de la chaîne, assortie d’un nombre minimal de critères et de conditions qui deviendraient obligatoires à la demande du fournisseur. Dans le cas des producteurs agricoles, leurs organisations représentatives ou les organismes </w:t>
      </w:r>
      <w:proofErr w:type="spellStart"/>
      <w:r w:rsidR="0072650B" w:rsidRPr="003C10F7">
        <w:rPr>
          <w:rFonts w:ascii="Arial" w:hAnsi="Arial" w:cs="Arial"/>
          <w:color w:val="auto"/>
          <w:sz w:val="24"/>
          <w:szCs w:val="24"/>
          <w:lang w:val="fr-FR"/>
        </w:rPr>
        <w:t>inter-branches</w:t>
      </w:r>
      <w:proofErr w:type="spellEnd"/>
      <w:r w:rsidR="0072650B" w:rsidRPr="003C10F7">
        <w:rPr>
          <w:rFonts w:ascii="Arial" w:hAnsi="Arial" w:cs="Arial"/>
          <w:color w:val="auto"/>
          <w:sz w:val="24"/>
          <w:szCs w:val="24"/>
          <w:lang w:val="fr-FR"/>
        </w:rPr>
        <w:t xml:space="preserve"> pourraient jouer un rôle essentiel et les représenter à la table des négociations. </w:t>
      </w:r>
    </w:p>
    <w:p w14:paraId="66FE2280" w14:textId="5A6149BB" w:rsidR="0023529E" w:rsidRPr="003C10F7" w:rsidRDefault="0023529E" w:rsidP="006F575E">
      <w:pPr>
        <w:pStyle w:val="ListParagraph"/>
        <w:jc w:val="both"/>
        <w:rPr>
          <w:rFonts w:ascii="Arial" w:hAnsi="Arial" w:cs="Arial"/>
          <w:color w:val="auto"/>
          <w:sz w:val="24"/>
          <w:szCs w:val="24"/>
          <w:lang w:val="fr-FR"/>
        </w:rPr>
      </w:pPr>
    </w:p>
    <w:p w14:paraId="3E7E6A5B" w14:textId="220704AB" w:rsidR="0023529E" w:rsidRPr="003C10F7" w:rsidRDefault="0072650B" w:rsidP="006F575E">
      <w:pPr>
        <w:pStyle w:val="ListParagraph"/>
        <w:numPr>
          <w:ilvl w:val="0"/>
          <w:numId w:val="8"/>
        </w:numPr>
        <w:tabs>
          <w:tab w:val="clear" w:pos="720"/>
          <w:tab w:val="num" w:pos="690"/>
        </w:tabs>
        <w:ind w:left="690" w:hanging="330"/>
        <w:jc w:val="both"/>
        <w:rPr>
          <w:rFonts w:ascii="Arial" w:hAnsi="Arial" w:cs="Arial"/>
          <w:color w:val="auto"/>
          <w:sz w:val="24"/>
          <w:szCs w:val="24"/>
          <w:lang w:val="fr-FR"/>
        </w:rPr>
      </w:pPr>
      <w:r w:rsidRPr="003C10F7">
        <w:rPr>
          <w:rFonts w:ascii="Arial" w:hAnsi="Arial" w:cs="Arial"/>
          <w:b/>
          <w:color w:val="auto"/>
          <w:sz w:val="24"/>
          <w:szCs w:val="24"/>
          <w:lang w:val="fr-FR"/>
        </w:rPr>
        <w:t>Application effective de la règlementation</w:t>
      </w:r>
      <w:r w:rsidR="007664E2" w:rsidRPr="003C10F7">
        <w:rPr>
          <w:rFonts w:ascii="Arial" w:hAnsi="Arial" w:cs="Arial"/>
          <w:color w:val="auto"/>
          <w:sz w:val="24"/>
          <w:szCs w:val="24"/>
          <w:lang w:val="fr-FR"/>
        </w:rPr>
        <w:t xml:space="preserve"> </w:t>
      </w:r>
      <w:r w:rsidR="00BA2165" w:rsidRPr="003C10F7">
        <w:rPr>
          <w:rFonts w:ascii="Arial" w:hAnsi="Arial" w:cs="Arial"/>
          <w:color w:val="auto"/>
          <w:sz w:val="24"/>
          <w:szCs w:val="24"/>
          <w:lang w:val="fr-FR"/>
        </w:rPr>
        <w:t xml:space="preserve">L’expérience nous montre les défauts et les limites des modèles de mise en œuvre non contraignants, basés sur le volontariat. La méthode la plus efficace est le contrôle et la supervision exercés par une autorité indépendante, dotée de pouvoirs publics, afin d’assurer l’application effective de l’ensemble des règles définies. </w:t>
      </w:r>
    </w:p>
    <w:p w14:paraId="12C30771" w14:textId="77777777" w:rsidR="0023529E" w:rsidRPr="003C10F7" w:rsidRDefault="0023529E" w:rsidP="006F575E">
      <w:pPr>
        <w:pStyle w:val="Body"/>
        <w:jc w:val="both"/>
        <w:rPr>
          <w:rFonts w:ascii="Arial" w:hAnsi="Arial" w:cs="Arial"/>
          <w:color w:val="auto"/>
          <w:sz w:val="24"/>
          <w:szCs w:val="24"/>
          <w:lang w:val="fr-FR"/>
        </w:rPr>
      </w:pPr>
    </w:p>
    <w:p w14:paraId="5F01407B" w14:textId="771EE5E5" w:rsidR="006F575E" w:rsidRPr="003C10F7" w:rsidRDefault="00BA2165" w:rsidP="006F575E">
      <w:pPr>
        <w:pStyle w:val="ListParagraph"/>
        <w:numPr>
          <w:ilvl w:val="0"/>
          <w:numId w:val="8"/>
        </w:numPr>
        <w:tabs>
          <w:tab w:val="clear" w:pos="720"/>
          <w:tab w:val="num" w:pos="690"/>
        </w:tabs>
        <w:ind w:left="690" w:hanging="330"/>
        <w:jc w:val="both"/>
        <w:rPr>
          <w:rFonts w:ascii="Arial" w:hAnsi="Arial" w:cs="Arial"/>
          <w:color w:val="auto"/>
          <w:sz w:val="24"/>
          <w:szCs w:val="24"/>
          <w:lang w:val="fr-FR"/>
        </w:rPr>
      </w:pPr>
      <w:r w:rsidRPr="003C10F7">
        <w:rPr>
          <w:rFonts w:ascii="Arial" w:hAnsi="Arial" w:cs="Arial"/>
          <w:b/>
          <w:bCs/>
          <w:color w:val="auto"/>
          <w:sz w:val="24"/>
          <w:szCs w:val="24"/>
          <w:lang w:val="fr-FR"/>
        </w:rPr>
        <w:t>Eviter l’effet de crainte</w:t>
      </w:r>
      <w:r w:rsidR="007664E2" w:rsidRPr="003C10F7">
        <w:rPr>
          <w:rFonts w:ascii="Arial" w:hAnsi="Arial" w:cs="Arial"/>
          <w:color w:val="auto"/>
          <w:sz w:val="24"/>
          <w:szCs w:val="24"/>
          <w:lang w:val="fr-FR"/>
        </w:rPr>
        <w:t xml:space="preserve">. </w:t>
      </w:r>
      <w:r w:rsidR="006E5BFC" w:rsidRPr="003C10F7">
        <w:rPr>
          <w:rFonts w:ascii="Arial" w:hAnsi="Arial" w:cs="Arial"/>
          <w:color w:val="auto"/>
          <w:sz w:val="24"/>
          <w:szCs w:val="24"/>
          <w:lang w:val="fr-FR"/>
        </w:rPr>
        <w:t>La mise en œuvre dev</w:t>
      </w:r>
      <w:r w:rsidR="001A10A4" w:rsidRPr="003C10F7">
        <w:rPr>
          <w:rFonts w:ascii="Arial" w:hAnsi="Arial" w:cs="Arial"/>
          <w:color w:val="auto"/>
          <w:sz w:val="24"/>
          <w:szCs w:val="24"/>
          <w:lang w:val="fr-FR"/>
        </w:rPr>
        <w:t>r</w:t>
      </w:r>
      <w:r w:rsidR="006E5BFC" w:rsidRPr="003C10F7">
        <w:rPr>
          <w:rFonts w:ascii="Arial" w:hAnsi="Arial" w:cs="Arial"/>
          <w:color w:val="auto"/>
          <w:sz w:val="24"/>
          <w:szCs w:val="24"/>
          <w:lang w:val="fr-FR"/>
        </w:rPr>
        <w:t xml:space="preserve">ait être rendue possible à l’initiative d’autorités </w:t>
      </w:r>
      <w:r w:rsidR="001A10A4" w:rsidRPr="003C10F7">
        <w:rPr>
          <w:rFonts w:ascii="Arial" w:hAnsi="Arial" w:cs="Arial"/>
          <w:color w:val="auto"/>
          <w:sz w:val="24"/>
          <w:szCs w:val="24"/>
          <w:lang w:val="fr-FR"/>
        </w:rPr>
        <w:t>indépendantes</w:t>
      </w:r>
      <w:r w:rsidR="006E5BFC" w:rsidRPr="003C10F7">
        <w:rPr>
          <w:rFonts w:ascii="Arial" w:hAnsi="Arial" w:cs="Arial"/>
          <w:color w:val="auto"/>
          <w:sz w:val="24"/>
          <w:szCs w:val="24"/>
          <w:lang w:val="fr-FR"/>
        </w:rPr>
        <w:t xml:space="preserve">, ou par les opérateurs et leurs organisations. Il est crucial en ce sens de mettre en place un système de recours efficace protégeant l ‘anonymat du plaignant. </w:t>
      </w:r>
    </w:p>
    <w:p w14:paraId="4E13A4FF" w14:textId="77777777" w:rsidR="0023529E" w:rsidRPr="003C10F7" w:rsidRDefault="0023529E" w:rsidP="006F575E">
      <w:pPr>
        <w:pStyle w:val="Body"/>
        <w:jc w:val="both"/>
        <w:rPr>
          <w:rFonts w:ascii="Arial" w:hAnsi="Arial" w:cs="Arial"/>
          <w:color w:val="auto"/>
          <w:sz w:val="24"/>
          <w:szCs w:val="24"/>
          <w:lang w:val="fr-FR"/>
        </w:rPr>
      </w:pPr>
    </w:p>
    <w:p w14:paraId="62AD9D35" w14:textId="2FD5E62C" w:rsidR="0023529E" w:rsidRPr="003C10F7" w:rsidRDefault="007664E2" w:rsidP="006F575E">
      <w:pPr>
        <w:pStyle w:val="Body"/>
        <w:ind w:left="360"/>
        <w:jc w:val="both"/>
        <w:rPr>
          <w:rFonts w:ascii="Arial" w:hAnsi="Arial" w:cs="Arial"/>
          <w:color w:val="auto"/>
          <w:sz w:val="24"/>
          <w:szCs w:val="24"/>
          <w:lang w:val="fr-FR"/>
        </w:rPr>
      </w:pPr>
      <w:r w:rsidRPr="003C10F7">
        <w:rPr>
          <w:rFonts w:ascii="Arial" w:hAnsi="Arial" w:cs="Arial"/>
          <w:b/>
          <w:bCs/>
          <w:color w:val="auto"/>
          <w:sz w:val="24"/>
          <w:szCs w:val="24"/>
          <w:lang w:val="fr-FR"/>
        </w:rPr>
        <w:t xml:space="preserve"> </w:t>
      </w:r>
      <w:r w:rsidRPr="003C10F7">
        <w:rPr>
          <w:rFonts w:ascii="Arial" w:hAnsi="Arial" w:cs="Arial"/>
          <w:color w:val="auto"/>
          <w:sz w:val="24"/>
          <w:szCs w:val="24"/>
          <w:lang w:val="fr-FR"/>
        </w:rPr>
        <w:t xml:space="preserve">f) </w:t>
      </w:r>
      <w:r w:rsidRPr="003C10F7">
        <w:rPr>
          <w:rFonts w:ascii="Arial" w:hAnsi="Arial" w:cs="Arial"/>
          <w:b/>
          <w:bCs/>
          <w:color w:val="auto"/>
          <w:sz w:val="24"/>
          <w:szCs w:val="24"/>
          <w:lang w:val="fr-FR"/>
        </w:rPr>
        <w:t>Sanctions</w:t>
      </w:r>
      <w:r w:rsidRPr="003C10F7">
        <w:rPr>
          <w:rFonts w:ascii="Arial" w:hAnsi="Arial" w:cs="Arial"/>
          <w:color w:val="auto"/>
          <w:sz w:val="24"/>
          <w:szCs w:val="24"/>
          <w:lang w:val="fr-FR"/>
        </w:rPr>
        <w:t xml:space="preserve"> </w:t>
      </w:r>
      <w:r w:rsidR="006E5BFC" w:rsidRPr="003C10F7">
        <w:rPr>
          <w:rFonts w:ascii="Arial" w:hAnsi="Arial" w:cs="Arial"/>
          <w:b/>
          <w:bCs/>
          <w:color w:val="auto"/>
          <w:sz w:val="24"/>
          <w:szCs w:val="24"/>
          <w:lang w:val="fr-FR"/>
        </w:rPr>
        <w:t>et mise à l’index</w:t>
      </w:r>
      <w:r w:rsidRPr="003C10F7">
        <w:rPr>
          <w:rFonts w:ascii="Arial" w:hAnsi="Arial" w:cs="Arial"/>
          <w:color w:val="auto"/>
          <w:sz w:val="24"/>
          <w:szCs w:val="24"/>
          <w:lang w:val="fr-FR"/>
        </w:rPr>
        <w:t xml:space="preserve">. </w:t>
      </w:r>
      <w:r w:rsidR="006E5BFC" w:rsidRPr="003C10F7">
        <w:rPr>
          <w:rFonts w:ascii="Arial" w:hAnsi="Arial" w:cs="Arial"/>
          <w:color w:val="auto"/>
          <w:sz w:val="24"/>
          <w:szCs w:val="24"/>
          <w:lang w:val="fr-FR"/>
        </w:rPr>
        <w:t>Le non-respect de l’ensemble des règles devrait exposer le contrevenant à des sanctions, à caractère dissuasif, allant jusqu’à des dispositions de « mise à l’index »</w:t>
      </w:r>
      <w:r w:rsidR="00BD79D7" w:rsidRPr="003C10F7">
        <w:rPr>
          <w:rFonts w:ascii="Arial" w:hAnsi="Arial" w:cs="Arial"/>
          <w:color w:val="auto"/>
          <w:sz w:val="24"/>
          <w:szCs w:val="24"/>
          <w:lang w:val="fr-FR"/>
        </w:rPr>
        <w:t xml:space="preserve"> (« </w:t>
      </w:r>
      <w:proofErr w:type="spellStart"/>
      <w:r w:rsidR="00BD79D7" w:rsidRPr="003C10F7">
        <w:rPr>
          <w:rFonts w:ascii="Arial" w:hAnsi="Arial" w:cs="Arial"/>
          <w:color w:val="auto"/>
          <w:sz w:val="24"/>
          <w:szCs w:val="24"/>
          <w:lang w:val="fr-FR"/>
        </w:rPr>
        <w:t>name</w:t>
      </w:r>
      <w:proofErr w:type="spellEnd"/>
      <w:r w:rsidR="00BD79D7" w:rsidRPr="003C10F7">
        <w:rPr>
          <w:rFonts w:ascii="Arial" w:hAnsi="Arial" w:cs="Arial"/>
          <w:color w:val="auto"/>
          <w:sz w:val="24"/>
          <w:szCs w:val="24"/>
          <w:lang w:val="fr-FR"/>
        </w:rPr>
        <w:t xml:space="preserve"> and </w:t>
      </w:r>
      <w:proofErr w:type="spellStart"/>
      <w:r w:rsidR="00BD79D7" w:rsidRPr="003C10F7">
        <w:rPr>
          <w:rFonts w:ascii="Arial" w:hAnsi="Arial" w:cs="Arial"/>
          <w:color w:val="auto"/>
          <w:sz w:val="24"/>
          <w:szCs w:val="24"/>
          <w:lang w:val="fr-FR"/>
        </w:rPr>
        <w:t>shame</w:t>
      </w:r>
      <w:proofErr w:type="spellEnd"/>
      <w:r w:rsidR="00BD79D7" w:rsidRPr="003C10F7">
        <w:rPr>
          <w:rFonts w:ascii="Arial" w:hAnsi="Arial" w:cs="Arial"/>
          <w:color w:val="auto"/>
          <w:sz w:val="24"/>
          <w:szCs w:val="24"/>
          <w:lang w:val="fr-FR"/>
        </w:rPr>
        <w:t> »)</w:t>
      </w:r>
      <w:r w:rsidR="006E5BFC" w:rsidRPr="003C10F7">
        <w:rPr>
          <w:rFonts w:ascii="Arial" w:hAnsi="Arial" w:cs="Arial"/>
          <w:color w:val="auto"/>
          <w:sz w:val="24"/>
          <w:szCs w:val="24"/>
          <w:lang w:val="fr-FR"/>
        </w:rPr>
        <w:t xml:space="preserve">. </w:t>
      </w:r>
    </w:p>
    <w:p w14:paraId="1C4449AE" w14:textId="77777777" w:rsidR="00BA3244" w:rsidRPr="003C10F7" w:rsidRDefault="00BA3244" w:rsidP="006F575E">
      <w:pPr>
        <w:pStyle w:val="Body"/>
        <w:jc w:val="both"/>
        <w:rPr>
          <w:rFonts w:ascii="Arial" w:hAnsi="Arial" w:cs="Arial"/>
          <w:color w:val="auto"/>
          <w:sz w:val="24"/>
          <w:szCs w:val="24"/>
          <w:lang w:val="fr-FR"/>
        </w:rPr>
      </w:pPr>
    </w:p>
    <w:p w14:paraId="09957681" w14:textId="2D25C6A7" w:rsidR="006E5BFC" w:rsidRPr="003C10F7" w:rsidRDefault="006E5BFC"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 xml:space="preserve">Toutes ces propositions devraient constituer un cadre </w:t>
      </w:r>
      <w:r w:rsidR="00E66488" w:rsidRPr="003C10F7">
        <w:rPr>
          <w:rFonts w:ascii="Arial" w:hAnsi="Arial" w:cs="Arial"/>
          <w:color w:val="auto"/>
          <w:sz w:val="24"/>
          <w:szCs w:val="24"/>
          <w:lang w:val="fr-FR"/>
        </w:rPr>
        <w:t>cohérent</w:t>
      </w:r>
      <w:r w:rsidRPr="003C10F7">
        <w:rPr>
          <w:rFonts w:ascii="Arial" w:hAnsi="Arial" w:cs="Arial"/>
          <w:color w:val="auto"/>
          <w:sz w:val="24"/>
          <w:szCs w:val="24"/>
          <w:lang w:val="fr-FR"/>
        </w:rPr>
        <w:t xml:space="preserve"> commun </w:t>
      </w:r>
      <w:r w:rsidR="00E66488" w:rsidRPr="003C10F7">
        <w:rPr>
          <w:rFonts w:ascii="Arial" w:hAnsi="Arial" w:cs="Arial"/>
          <w:color w:val="auto"/>
          <w:sz w:val="24"/>
          <w:szCs w:val="24"/>
          <w:lang w:val="fr-FR"/>
        </w:rPr>
        <w:t xml:space="preserve">au niveau européen, </w:t>
      </w:r>
      <w:r w:rsidRPr="003C10F7">
        <w:rPr>
          <w:rFonts w:ascii="Arial" w:hAnsi="Arial" w:cs="Arial"/>
          <w:color w:val="auto"/>
          <w:sz w:val="24"/>
          <w:szCs w:val="24"/>
          <w:lang w:val="fr-FR"/>
        </w:rPr>
        <w:t>auquel il convient de donner une existence juridique</w:t>
      </w:r>
      <w:r w:rsidR="00BD79D7" w:rsidRPr="003C10F7">
        <w:rPr>
          <w:rFonts w:ascii="Arial" w:hAnsi="Arial" w:cs="Arial"/>
          <w:color w:val="auto"/>
          <w:sz w:val="24"/>
          <w:szCs w:val="24"/>
          <w:lang w:val="fr-FR"/>
        </w:rPr>
        <w:t xml:space="preserve">, en parallèle aux évolutions positives du droit de la concurrences prévues au titre de l’Omnibus PAC et qui sont à même de rééquilibrer </w:t>
      </w:r>
      <w:r w:rsidR="003C10F7" w:rsidRPr="003C10F7">
        <w:rPr>
          <w:rFonts w:ascii="Arial" w:hAnsi="Arial" w:cs="Arial"/>
          <w:color w:val="auto"/>
          <w:sz w:val="24"/>
          <w:szCs w:val="24"/>
          <w:lang w:val="fr-FR"/>
        </w:rPr>
        <w:t>les rapports de force au sein de la chaine</w:t>
      </w:r>
      <w:r w:rsidRPr="003C10F7">
        <w:rPr>
          <w:rFonts w:ascii="Arial" w:hAnsi="Arial" w:cs="Arial"/>
          <w:color w:val="auto"/>
          <w:sz w:val="24"/>
          <w:szCs w:val="24"/>
          <w:lang w:val="fr-FR"/>
        </w:rPr>
        <w:t xml:space="preserve">. Les Etats Membres garderaient évidemment un maximum de </w:t>
      </w:r>
      <w:r w:rsidRPr="003C10F7">
        <w:rPr>
          <w:rFonts w:ascii="Arial" w:hAnsi="Arial" w:cs="Arial"/>
          <w:color w:val="auto"/>
          <w:sz w:val="24"/>
          <w:szCs w:val="24"/>
          <w:lang w:val="fr-FR"/>
        </w:rPr>
        <w:lastRenderedPageBreak/>
        <w:t xml:space="preserve">latitude dans l’application effective du cadre général, car </w:t>
      </w:r>
      <w:r w:rsidR="00E66488" w:rsidRPr="003C10F7">
        <w:rPr>
          <w:rFonts w:ascii="Arial" w:hAnsi="Arial" w:cs="Arial"/>
          <w:color w:val="auto"/>
          <w:sz w:val="24"/>
          <w:szCs w:val="24"/>
          <w:lang w:val="fr-FR"/>
        </w:rPr>
        <w:t xml:space="preserve">ce </w:t>
      </w:r>
      <w:r w:rsidRPr="003C10F7">
        <w:rPr>
          <w:rFonts w:ascii="Arial" w:hAnsi="Arial" w:cs="Arial"/>
          <w:color w:val="auto"/>
          <w:sz w:val="24"/>
          <w:szCs w:val="24"/>
          <w:lang w:val="fr-FR"/>
        </w:rPr>
        <w:t>qui compte</w:t>
      </w:r>
      <w:r w:rsidR="00E66488" w:rsidRPr="003C10F7">
        <w:rPr>
          <w:rFonts w:ascii="Arial" w:hAnsi="Arial" w:cs="Arial"/>
          <w:color w:val="auto"/>
          <w:sz w:val="24"/>
          <w:szCs w:val="24"/>
          <w:lang w:val="fr-FR"/>
        </w:rPr>
        <w:t>, c’est le résultat final</w:t>
      </w:r>
      <w:r w:rsidRPr="003C10F7">
        <w:rPr>
          <w:rFonts w:ascii="Arial" w:hAnsi="Arial" w:cs="Arial"/>
          <w:color w:val="auto"/>
          <w:sz w:val="24"/>
          <w:szCs w:val="24"/>
          <w:lang w:val="fr-FR"/>
        </w:rPr>
        <w:t xml:space="preserve">. D’autre part, les us et </w:t>
      </w:r>
      <w:r w:rsidR="00E66488" w:rsidRPr="003C10F7">
        <w:rPr>
          <w:rFonts w:ascii="Arial" w:hAnsi="Arial" w:cs="Arial"/>
          <w:color w:val="auto"/>
          <w:sz w:val="24"/>
          <w:szCs w:val="24"/>
          <w:lang w:val="fr-FR"/>
        </w:rPr>
        <w:t>coutumes</w:t>
      </w:r>
      <w:r w:rsidRPr="003C10F7">
        <w:rPr>
          <w:rFonts w:ascii="Arial" w:hAnsi="Arial" w:cs="Arial"/>
          <w:color w:val="auto"/>
          <w:sz w:val="24"/>
          <w:szCs w:val="24"/>
          <w:lang w:val="fr-FR"/>
        </w:rPr>
        <w:t xml:space="preserve"> ne peuvent pas changer du jour au lendemain</w:t>
      </w:r>
      <w:r w:rsidR="00E66488" w:rsidRPr="003C10F7">
        <w:rPr>
          <w:rFonts w:ascii="Arial" w:hAnsi="Arial" w:cs="Arial"/>
          <w:color w:val="auto"/>
          <w:sz w:val="24"/>
          <w:szCs w:val="24"/>
          <w:lang w:val="fr-FR"/>
        </w:rPr>
        <w:t>, la prise de conscience se fera dans le temps.</w:t>
      </w:r>
    </w:p>
    <w:p w14:paraId="5F45455A" w14:textId="37200254" w:rsidR="00E66488" w:rsidRPr="003C10F7" w:rsidRDefault="00E66488" w:rsidP="006F575E">
      <w:pPr>
        <w:pStyle w:val="Body"/>
        <w:jc w:val="both"/>
        <w:rPr>
          <w:rFonts w:ascii="Arial" w:hAnsi="Arial" w:cs="Arial"/>
          <w:color w:val="auto"/>
          <w:sz w:val="24"/>
          <w:szCs w:val="24"/>
          <w:lang w:val="fr-FR"/>
        </w:rPr>
      </w:pPr>
      <w:r w:rsidRPr="003C10F7">
        <w:rPr>
          <w:rFonts w:ascii="Arial" w:hAnsi="Arial" w:cs="Arial"/>
          <w:color w:val="auto"/>
          <w:sz w:val="24"/>
          <w:szCs w:val="24"/>
          <w:lang w:val="fr-FR"/>
        </w:rPr>
        <w:t>Enfin, le modèle dans son ensemble devrait être complété au niveau national par une participation effective des différents acteurs</w:t>
      </w:r>
      <w:r w:rsidR="00BA3244" w:rsidRPr="003C10F7">
        <w:rPr>
          <w:rFonts w:ascii="Arial" w:hAnsi="Arial" w:cs="Arial"/>
          <w:color w:val="auto"/>
          <w:sz w:val="24"/>
          <w:szCs w:val="24"/>
          <w:lang w:val="fr-FR"/>
        </w:rPr>
        <w:t>,</w:t>
      </w:r>
      <w:r w:rsidRPr="003C10F7">
        <w:rPr>
          <w:rFonts w:ascii="Arial" w:hAnsi="Arial" w:cs="Arial"/>
          <w:color w:val="auto"/>
          <w:sz w:val="24"/>
          <w:szCs w:val="24"/>
          <w:lang w:val="fr-FR"/>
        </w:rPr>
        <w:t xml:space="preserve"> par le biais de l’adoption de codes de conduite ou d’accords, sur la base du volontariat, visant à une meilleure application d’un système complet. En ce sens, le travail déjà réalisé tant à l’échelon européen que national doit servir de base de </w:t>
      </w:r>
      <w:r w:rsidR="00BA3244" w:rsidRPr="003C10F7">
        <w:rPr>
          <w:rFonts w:ascii="Arial" w:hAnsi="Arial" w:cs="Arial"/>
          <w:color w:val="auto"/>
          <w:sz w:val="24"/>
          <w:szCs w:val="24"/>
          <w:lang w:val="fr-FR"/>
        </w:rPr>
        <w:t>départ</w:t>
      </w:r>
      <w:r w:rsidRPr="003C10F7">
        <w:rPr>
          <w:rFonts w:ascii="Arial" w:hAnsi="Arial" w:cs="Arial"/>
          <w:color w:val="auto"/>
          <w:sz w:val="24"/>
          <w:szCs w:val="24"/>
          <w:lang w:val="fr-FR"/>
        </w:rPr>
        <w:t xml:space="preserve">, et il </w:t>
      </w:r>
      <w:r w:rsidR="00BA3244" w:rsidRPr="003C10F7">
        <w:rPr>
          <w:rFonts w:ascii="Arial" w:hAnsi="Arial" w:cs="Arial"/>
          <w:color w:val="auto"/>
          <w:sz w:val="24"/>
          <w:szCs w:val="24"/>
          <w:lang w:val="fr-FR"/>
        </w:rPr>
        <w:t xml:space="preserve">en </w:t>
      </w:r>
      <w:r w:rsidRPr="003C10F7">
        <w:rPr>
          <w:rFonts w:ascii="Arial" w:hAnsi="Arial" w:cs="Arial"/>
          <w:color w:val="auto"/>
          <w:sz w:val="24"/>
          <w:szCs w:val="24"/>
          <w:lang w:val="fr-FR"/>
        </w:rPr>
        <w:t>va de même pour l’ensemble des principes définis dans le cadre du SCI (</w:t>
      </w:r>
      <w:proofErr w:type="spellStart"/>
      <w:r w:rsidRPr="003C10F7">
        <w:rPr>
          <w:rFonts w:ascii="Arial" w:hAnsi="Arial" w:cs="Arial"/>
          <w:color w:val="auto"/>
          <w:sz w:val="24"/>
          <w:szCs w:val="24"/>
          <w:lang w:val="fr-FR"/>
        </w:rPr>
        <w:t>Supply</w:t>
      </w:r>
      <w:proofErr w:type="spellEnd"/>
      <w:r w:rsidRPr="003C10F7">
        <w:rPr>
          <w:rFonts w:ascii="Arial" w:hAnsi="Arial" w:cs="Arial"/>
          <w:color w:val="auto"/>
          <w:sz w:val="24"/>
          <w:szCs w:val="24"/>
          <w:lang w:val="fr-FR"/>
        </w:rPr>
        <w:t xml:space="preserve"> Chain Initiative)</w:t>
      </w:r>
      <w:r w:rsidR="003C10F7" w:rsidRPr="003C10F7">
        <w:rPr>
          <w:rFonts w:ascii="Arial" w:hAnsi="Arial" w:cs="Arial"/>
          <w:color w:val="auto"/>
          <w:sz w:val="24"/>
          <w:szCs w:val="24"/>
          <w:lang w:val="fr-FR"/>
        </w:rPr>
        <w:t xml:space="preserve">. </w:t>
      </w:r>
    </w:p>
    <w:p w14:paraId="1313782E" w14:textId="77777777" w:rsidR="0023529E" w:rsidRPr="003C10F7" w:rsidRDefault="0023529E" w:rsidP="006F575E">
      <w:pPr>
        <w:pStyle w:val="Body"/>
        <w:jc w:val="both"/>
        <w:rPr>
          <w:rFonts w:ascii="Arial" w:hAnsi="Arial" w:cs="Arial"/>
          <w:color w:val="auto"/>
          <w:sz w:val="24"/>
          <w:szCs w:val="24"/>
          <w:lang w:val="fr-FR"/>
        </w:rPr>
      </w:pPr>
    </w:p>
    <w:p w14:paraId="6CF628EB" w14:textId="77777777" w:rsidR="0023529E" w:rsidRPr="003C10F7" w:rsidRDefault="0023529E" w:rsidP="006F575E">
      <w:pPr>
        <w:pStyle w:val="Body"/>
        <w:jc w:val="both"/>
        <w:rPr>
          <w:rFonts w:ascii="Arial" w:hAnsi="Arial" w:cs="Arial"/>
          <w:color w:val="auto"/>
          <w:sz w:val="24"/>
          <w:szCs w:val="24"/>
          <w:lang w:val="fr-FR"/>
        </w:rPr>
      </w:pPr>
    </w:p>
    <w:p w14:paraId="3A8C9FA8" w14:textId="77777777" w:rsidR="0023529E" w:rsidRPr="003C10F7" w:rsidRDefault="007664E2" w:rsidP="006F575E">
      <w:pPr>
        <w:pStyle w:val="Body"/>
        <w:jc w:val="both"/>
        <w:rPr>
          <w:rFonts w:ascii="Arial" w:hAnsi="Arial" w:cs="Arial"/>
          <w:color w:val="auto"/>
          <w:lang w:val="fr-FR"/>
        </w:rPr>
      </w:pPr>
      <w:r w:rsidRPr="003C10F7">
        <w:rPr>
          <w:rFonts w:ascii="Arial" w:hAnsi="Arial" w:cs="Arial"/>
          <w:color w:val="auto"/>
          <w:sz w:val="24"/>
          <w:szCs w:val="24"/>
          <w:lang w:val="fr-FR"/>
        </w:rPr>
        <w:t xml:space="preserve"> </w:t>
      </w:r>
    </w:p>
    <w:sectPr w:rsidR="0023529E" w:rsidRPr="003C10F7">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83A61" w14:textId="77777777" w:rsidR="004736B0" w:rsidRDefault="004736B0">
      <w:r>
        <w:separator/>
      </w:r>
    </w:p>
  </w:endnote>
  <w:endnote w:type="continuationSeparator" w:id="0">
    <w:p w14:paraId="0E297C79" w14:textId="77777777" w:rsidR="004736B0" w:rsidRDefault="0047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765E9" w14:textId="77777777" w:rsidR="00BD79D7" w:rsidRDefault="00BD79D7">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107C8" w14:textId="77777777" w:rsidR="004736B0" w:rsidRDefault="004736B0">
      <w:r>
        <w:separator/>
      </w:r>
    </w:p>
  </w:footnote>
  <w:footnote w:type="continuationSeparator" w:id="0">
    <w:p w14:paraId="6D807211" w14:textId="77777777" w:rsidR="004736B0" w:rsidRDefault="004736B0">
      <w:r>
        <w:continuationSeparator/>
      </w:r>
    </w:p>
  </w:footnote>
  <w:footnote w:type="continuationNotice" w:id="1">
    <w:p w14:paraId="189E4F3B" w14:textId="77777777" w:rsidR="004736B0" w:rsidRDefault="004736B0"/>
  </w:footnote>
  <w:footnote w:id="2">
    <w:p w14:paraId="3E21E3D1" w14:textId="43B4BA3B" w:rsidR="00BD79D7" w:rsidRDefault="00BD79D7">
      <w:pPr>
        <w:pStyle w:val="FootnoteText"/>
      </w:pPr>
      <w:r>
        <w:rPr>
          <w:sz w:val="24"/>
          <w:szCs w:val="24"/>
          <w:vertAlign w:val="superscript"/>
          <w:lang w:val="en-US"/>
        </w:rPr>
        <w:footnoteRef/>
      </w:r>
      <w:r w:rsidRPr="00B87B71">
        <w:rPr>
          <w:lang w:val="fr-FR"/>
        </w:rPr>
        <w:t xml:space="preserve"> pour une information plus détaillée voir l’étude commandée par l’Agence Espagnole d’information et de contrôle alimentaires (AICA) ” Informe sobre la </w:t>
      </w:r>
      <w:proofErr w:type="spellStart"/>
      <w:r w:rsidRPr="00B87B71">
        <w:rPr>
          <w:lang w:val="fr-FR"/>
        </w:rPr>
        <w:t>aplicacion</w:t>
      </w:r>
      <w:proofErr w:type="spellEnd"/>
      <w:r w:rsidRPr="00B87B71">
        <w:rPr>
          <w:lang w:val="fr-FR"/>
        </w:rPr>
        <w:t xml:space="preserve"> de la </w:t>
      </w:r>
      <w:proofErr w:type="spellStart"/>
      <w:r w:rsidRPr="00B87B71">
        <w:rPr>
          <w:lang w:val="fr-FR"/>
        </w:rPr>
        <w:t>regulacion</w:t>
      </w:r>
      <w:proofErr w:type="spellEnd"/>
      <w:r w:rsidRPr="00B87B71">
        <w:rPr>
          <w:lang w:val="fr-FR"/>
        </w:rPr>
        <w:t xml:space="preserve"> de </w:t>
      </w:r>
      <w:proofErr w:type="spellStart"/>
      <w:r w:rsidRPr="00B87B71">
        <w:rPr>
          <w:lang w:val="fr-FR"/>
        </w:rPr>
        <w:t>practicas</w:t>
      </w:r>
      <w:proofErr w:type="spellEnd"/>
      <w:r w:rsidRPr="00B87B71">
        <w:rPr>
          <w:lang w:val="fr-FR"/>
        </w:rPr>
        <w:t xml:space="preserve"> </w:t>
      </w:r>
      <w:proofErr w:type="spellStart"/>
      <w:r w:rsidRPr="00B87B71">
        <w:rPr>
          <w:lang w:val="fr-FR"/>
        </w:rPr>
        <w:t>comerciales</w:t>
      </w:r>
      <w:proofErr w:type="spellEnd"/>
      <w:r w:rsidRPr="00B87B71">
        <w:rPr>
          <w:lang w:val="fr-FR"/>
        </w:rPr>
        <w:t xml:space="preserve"> en los </w:t>
      </w:r>
      <w:proofErr w:type="spellStart"/>
      <w:r w:rsidRPr="00B87B71">
        <w:rPr>
          <w:lang w:val="fr-FR"/>
        </w:rPr>
        <w:t>paises</w:t>
      </w:r>
      <w:proofErr w:type="spellEnd"/>
      <w:r w:rsidRPr="00B87B71">
        <w:rPr>
          <w:lang w:val="fr-FR"/>
        </w:rPr>
        <w:t xml:space="preserve"> UE” 2016. </w:t>
      </w:r>
      <w:hyperlink r:id="rId1" w:history="1">
        <w:r>
          <w:rPr>
            <w:rStyle w:val="Hyperlink0"/>
          </w:rPr>
          <w:t>www.aica.gob.es</w:t>
        </w:r>
      </w:hyperlink>
      <w:r>
        <w:rPr>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FF6E" w14:textId="77777777" w:rsidR="00BD79D7" w:rsidRDefault="00BD79D7">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E1511"/>
    <w:multiLevelType w:val="multilevel"/>
    <w:tmpl w:val="C212CB46"/>
    <w:lvl w:ilvl="0">
      <w:start w:val="1"/>
      <w:numFmt w:val="lowerLetter"/>
      <w:lvlText w:val="%1)"/>
      <w:lvlJc w:val="left"/>
      <w:pPr>
        <w:tabs>
          <w:tab w:val="num" w:pos="720"/>
        </w:tabs>
        <w:ind w:left="720" w:hanging="360"/>
      </w:pPr>
      <w:rPr>
        <w:rFonts w:ascii="Calibri" w:eastAsia="Calibri" w:hAnsi="Calibri" w:cs="Calibri"/>
        <w:b/>
        <w:bCs/>
        <w:position w:val="0"/>
        <w:sz w:val="24"/>
        <w:szCs w:val="24"/>
        <w:lang w:val="en-US"/>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lang w:val="en-US"/>
      </w:rPr>
    </w:lvl>
    <w:lvl w:ilvl="2">
      <w:start w:val="1"/>
      <w:numFmt w:val="lowerRoman"/>
      <w:lvlText w:val="%3."/>
      <w:lvlJc w:val="left"/>
      <w:pPr>
        <w:tabs>
          <w:tab w:val="num" w:pos="2160"/>
        </w:tabs>
        <w:ind w:left="2160" w:hanging="296"/>
      </w:pPr>
      <w:rPr>
        <w:rFonts w:ascii="Calibri" w:eastAsia="Calibri" w:hAnsi="Calibri" w:cs="Calibri"/>
        <w:b/>
        <w:bCs/>
        <w:position w:val="0"/>
        <w:sz w:val="24"/>
        <w:szCs w:val="24"/>
        <w:lang w:val="en-US"/>
      </w:rPr>
    </w:lvl>
    <w:lvl w:ilvl="3">
      <w:start w:val="1"/>
      <w:numFmt w:val="decimal"/>
      <w:lvlText w:val="%4."/>
      <w:lvlJc w:val="left"/>
      <w:pPr>
        <w:tabs>
          <w:tab w:val="num" w:pos="2880"/>
        </w:tabs>
        <w:ind w:left="2880" w:hanging="360"/>
      </w:pPr>
      <w:rPr>
        <w:rFonts w:ascii="Calibri" w:eastAsia="Calibri" w:hAnsi="Calibri" w:cs="Calibri"/>
        <w:b/>
        <w:bCs/>
        <w:position w:val="0"/>
        <w:sz w:val="24"/>
        <w:szCs w:val="24"/>
        <w:lang w:val="en-US"/>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lang w:val="en-US"/>
      </w:rPr>
    </w:lvl>
    <w:lvl w:ilvl="5">
      <w:start w:val="1"/>
      <w:numFmt w:val="lowerRoman"/>
      <w:lvlText w:val="%6."/>
      <w:lvlJc w:val="left"/>
      <w:pPr>
        <w:tabs>
          <w:tab w:val="num" w:pos="4320"/>
        </w:tabs>
        <w:ind w:left="4320" w:hanging="296"/>
      </w:pPr>
      <w:rPr>
        <w:rFonts w:ascii="Calibri" w:eastAsia="Calibri" w:hAnsi="Calibri" w:cs="Calibri"/>
        <w:b/>
        <w:bCs/>
        <w:position w:val="0"/>
        <w:sz w:val="24"/>
        <w:szCs w:val="24"/>
        <w:lang w:val="en-US"/>
      </w:rPr>
    </w:lvl>
    <w:lvl w:ilvl="6">
      <w:start w:val="1"/>
      <w:numFmt w:val="decimal"/>
      <w:lvlText w:val="%7."/>
      <w:lvlJc w:val="left"/>
      <w:pPr>
        <w:tabs>
          <w:tab w:val="num" w:pos="5040"/>
        </w:tabs>
        <w:ind w:left="5040" w:hanging="360"/>
      </w:pPr>
      <w:rPr>
        <w:rFonts w:ascii="Calibri" w:eastAsia="Calibri" w:hAnsi="Calibri" w:cs="Calibri"/>
        <w:b/>
        <w:bCs/>
        <w:position w:val="0"/>
        <w:sz w:val="24"/>
        <w:szCs w:val="24"/>
        <w:lang w:val="en-US"/>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lang w:val="en-US"/>
      </w:rPr>
    </w:lvl>
    <w:lvl w:ilvl="8">
      <w:start w:val="1"/>
      <w:numFmt w:val="lowerRoman"/>
      <w:lvlText w:val="%9."/>
      <w:lvlJc w:val="left"/>
      <w:pPr>
        <w:tabs>
          <w:tab w:val="num" w:pos="6480"/>
        </w:tabs>
        <w:ind w:left="6480" w:hanging="296"/>
      </w:pPr>
      <w:rPr>
        <w:rFonts w:ascii="Calibri" w:eastAsia="Calibri" w:hAnsi="Calibri" w:cs="Calibri"/>
        <w:b/>
        <w:bCs/>
        <w:position w:val="0"/>
        <w:sz w:val="24"/>
        <w:szCs w:val="24"/>
        <w:lang w:val="en-US"/>
      </w:rPr>
    </w:lvl>
  </w:abstractNum>
  <w:abstractNum w:abstractNumId="1">
    <w:nsid w:val="199A5113"/>
    <w:multiLevelType w:val="multilevel"/>
    <w:tmpl w:val="306861D6"/>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2">
    <w:nsid w:val="1E3621C3"/>
    <w:multiLevelType w:val="multilevel"/>
    <w:tmpl w:val="F49EDE5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1E816EE5"/>
    <w:multiLevelType w:val="multilevel"/>
    <w:tmpl w:val="216A5B36"/>
    <w:lvl w:ilvl="0">
      <w:start w:val="1"/>
      <w:numFmt w:val="bullet"/>
      <w:lvlText w:val="-"/>
      <w:lvlJc w:val="left"/>
      <w:pPr>
        <w:tabs>
          <w:tab w:val="num" w:pos="600"/>
        </w:tabs>
        <w:ind w:left="600" w:hanging="360"/>
      </w:pPr>
      <w:rPr>
        <w:position w:val="0"/>
        <w:sz w:val="24"/>
        <w:szCs w:val="24"/>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4">
    <w:nsid w:val="27A808A0"/>
    <w:multiLevelType w:val="multilevel"/>
    <w:tmpl w:val="087254A0"/>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5">
    <w:nsid w:val="2F1332FC"/>
    <w:multiLevelType w:val="multilevel"/>
    <w:tmpl w:val="3070BACC"/>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6">
    <w:nsid w:val="355F3D77"/>
    <w:multiLevelType w:val="multilevel"/>
    <w:tmpl w:val="67FCAC3E"/>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7">
    <w:nsid w:val="35C215E2"/>
    <w:multiLevelType w:val="multilevel"/>
    <w:tmpl w:val="4246CBE4"/>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8">
    <w:nsid w:val="3D040B6A"/>
    <w:multiLevelType w:val="multilevel"/>
    <w:tmpl w:val="2FC4EC3C"/>
    <w:lvl w:ilvl="0">
      <w:start w:val="1"/>
      <w:numFmt w:val="bullet"/>
      <w:lvlText w:val="-"/>
      <w:lvlJc w:val="left"/>
      <w:pPr>
        <w:tabs>
          <w:tab w:val="num" w:pos="960"/>
        </w:tabs>
        <w:ind w:left="960" w:hanging="360"/>
      </w:pPr>
      <w:rPr>
        <w:position w:val="0"/>
        <w:sz w:val="24"/>
        <w:szCs w:val="24"/>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9">
    <w:nsid w:val="44B9406D"/>
    <w:multiLevelType w:val="multilevel"/>
    <w:tmpl w:val="B890F3F6"/>
    <w:styleLink w:val="Liste21"/>
    <w:lvl w:ilvl="0">
      <w:numFmt w:val="bullet"/>
      <w:lvlText w:val="-"/>
      <w:lvlJc w:val="left"/>
      <w:pPr>
        <w:tabs>
          <w:tab w:val="num" w:pos="600"/>
        </w:tabs>
        <w:ind w:left="60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10">
    <w:nsid w:val="4ABE28BE"/>
    <w:multiLevelType w:val="multilevel"/>
    <w:tmpl w:val="8B220F7E"/>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11">
    <w:nsid w:val="4E420047"/>
    <w:multiLevelType w:val="multilevel"/>
    <w:tmpl w:val="B6CC6190"/>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12">
    <w:nsid w:val="652F7A2A"/>
    <w:multiLevelType w:val="multilevel"/>
    <w:tmpl w:val="F9168628"/>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13">
    <w:nsid w:val="6DE37692"/>
    <w:multiLevelType w:val="multilevel"/>
    <w:tmpl w:val="FE56B82E"/>
    <w:styleLink w:val="List0"/>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14">
    <w:nsid w:val="78B334D1"/>
    <w:multiLevelType w:val="multilevel"/>
    <w:tmpl w:val="08E21070"/>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15">
    <w:nsid w:val="7AF67B64"/>
    <w:multiLevelType w:val="multilevel"/>
    <w:tmpl w:val="090EC53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nsid w:val="7B3F719F"/>
    <w:multiLevelType w:val="multilevel"/>
    <w:tmpl w:val="7912169E"/>
    <w:lvl w:ilvl="0">
      <w:numFmt w:val="bullet"/>
      <w:lvlText w:val="-"/>
      <w:lvlJc w:val="left"/>
      <w:pPr>
        <w:tabs>
          <w:tab w:val="num" w:pos="960"/>
        </w:tabs>
        <w:ind w:left="960" w:hanging="360"/>
      </w:pPr>
      <w:rPr>
        <w:position w:val="0"/>
        <w:sz w:val="22"/>
        <w:szCs w:val="22"/>
        <w:rtl w:val="0"/>
        <w:lang w:val="en-US"/>
      </w:rPr>
    </w:lvl>
    <w:lvl w:ilvl="1">
      <w:start w:val="1"/>
      <w:numFmt w:val="bullet"/>
      <w:lvlText w:val="o"/>
      <w:lvlJc w:val="left"/>
      <w:pPr>
        <w:tabs>
          <w:tab w:val="num" w:pos="1680"/>
        </w:tabs>
        <w:ind w:left="1680" w:hanging="360"/>
      </w:pPr>
      <w:rPr>
        <w:position w:val="0"/>
        <w:sz w:val="24"/>
        <w:szCs w:val="24"/>
        <w:rtl w:val="0"/>
        <w:lang w:val="en-US"/>
      </w:rPr>
    </w:lvl>
    <w:lvl w:ilvl="2">
      <w:start w:val="1"/>
      <w:numFmt w:val="bullet"/>
      <w:lvlText w:val="▪"/>
      <w:lvlJc w:val="left"/>
      <w:pPr>
        <w:tabs>
          <w:tab w:val="num" w:pos="2400"/>
        </w:tabs>
        <w:ind w:left="2400" w:hanging="360"/>
      </w:pPr>
      <w:rPr>
        <w:position w:val="0"/>
        <w:sz w:val="24"/>
        <w:szCs w:val="24"/>
        <w:rtl w:val="0"/>
        <w:lang w:val="en-US"/>
      </w:rPr>
    </w:lvl>
    <w:lvl w:ilvl="3">
      <w:start w:val="1"/>
      <w:numFmt w:val="bullet"/>
      <w:lvlText w:val="•"/>
      <w:lvlJc w:val="left"/>
      <w:pPr>
        <w:tabs>
          <w:tab w:val="num" w:pos="3120"/>
        </w:tabs>
        <w:ind w:left="3120" w:hanging="360"/>
      </w:pPr>
      <w:rPr>
        <w:position w:val="0"/>
        <w:sz w:val="24"/>
        <w:szCs w:val="24"/>
        <w:rtl w:val="0"/>
        <w:lang w:val="en-US"/>
      </w:rPr>
    </w:lvl>
    <w:lvl w:ilvl="4">
      <w:start w:val="1"/>
      <w:numFmt w:val="bullet"/>
      <w:lvlText w:val="o"/>
      <w:lvlJc w:val="left"/>
      <w:pPr>
        <w:tabs>
          <w:tab w:val="num" w:pos="3840"/>
        </w:tabs>
        <w:ind w:left="3840" w:hanging="360"/>
      </w:pPr>
      <w:rPr>
        <w:position w:val="0"/>
        <w:sz w:val="24"/>
        <w:szCs w:val="24"/>
        <w:rtl w:val="0"/>
        <w:lang w:val="en-US"/>
      </w:rPr>
    </w:lvl>
    <w:lvl w:ilvl="5">
      <w:start w:val="1"/>
      <w:numFmt w:val="bullet"/>
      <w:lvlText w:val="▪"/>
      <w:lvlJc w:val="left"/>
      <w:pPr>
        <w:tabs>
          <w:tab w:val="num" w:pos="4560"/>
        </w:tabs>
        <w:ind w:left="4560" w:hanging="360"/>
      </w:pPr>
      <w:rPr>
        <w:position w:val="0"/>
        <w:sz w:val="24"/>
        <w:szCs w:val="24"/>
        <w:rtl w:val="0"/>
        <w:lang w:val="en-US"/>
      </w:rPr>
    </w:lvl>
    <w:lvl w:ilvl="6">
      <w:start w:val="1"/>
      <w:numFmt w:val="bullet"/>
      <w:lvlText w:val="•"/>
      <w:lvlJc w:val="left"/>
      <w:pPr>
        <w:tabs>
          <w:tab w:val="num" w:pos="5280"/>
        </w:tabs>
        <w:ind w:left="5280" w:hanging="360"/>
      </w:pPr>
      <w:rPr>
        <w:position w:val="0"/>
        <w:sz w:val="24"/>
        <w:szCs w:val="24"/>
        <w:rtl w:val="0"/>
        <w:lang w:val="en-US"/>
      </w:rPr>
    </w:lvl>
    <w:lvl w:ilvl="7">
      <w:start w:val="1"/>
      <w:numFmt w:val="bullet"/>
      <w:lvlText w:val="o"/>
      <w:lvlJc w:val="left"/>
      <w:pPr>
        <w:tabs>
          <w:tab w:val="num" w:pos="6000"/>
        </w:tabs>
        <w:ind w:left="6000" w:hanging="360"/>
      </w:pPr>
      <w:rPr>
        <w:position w:val="0"/>
        <w:sz w:val="24"/>
        <w:szCs w:val="24"/>
        <w:rtl w:val="0"/>
        <w:lang w:val="en-US"/>
      </w:rPr>
    </w:lvl>
    <w:lvl w:ilvl="8">
      <w:start w:val="1"/>
      <w:numFmt w:val="bullet"/>
      <w:lvlText w:val="▪"/>
      <w:lvlJc w:val="left"/>
      <w:pPr>
        <w:tabs>
          <w:tab w:val="num" w:pos="6720"/>
        </w:tabs>
        <w:ind w:left="6720" w:hanging="360"/>
      </w:pPr>
      <w:rPr>
        <w:position w:val="0"/>
        <w:sz w:val="24"/>
        <w:szCs w:val="24"/>
        <w:rtl w:val="0"/>
        <w:lang w:val="en-US"/>
      </w:rPr>
    </w:lvl>
  </w:abstractNum>
  <w:abstractNum w:abstractNumId="17">
    <w:nsid w:val="7FA77504"/>
    <w:multiLevelType w:val="multilevel"/>
    <w:tmpl w:val="B2FE6656"/>
    <w:styleLink w:val="List1"/>
    <w:lvl w:ilvl="0">
      <w:start w:val="1"/>
      <w:numFmt w:val="lowerLetter"/>
      <w:lvlText w:val="%1)"/>
      <w:lvlJc w:val="left"/>
      <w:pPr>
        <w:tabs>
          <w:tab w:val="num" w:pos="720"/>
        </w:tabs>
        <w:ind w:left="720" w:hanging="360"/>
      </w:pPr>
      <w:rPr>
        <w:rFonts w:ascii="Trebuchet MS" w:eastAsia="Trebuchet MS" w:hAnsi="Trebuchet MS" w:cs="Trebuchet MS"/>
        <w:b/>
        <w:bCs/>
        <w:position w:val="0"/>
        <w:sz w:val="24"/>
        <w:szCs w:val="24"/>
        <w:lang w:val="en-US"/>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lang w:val="en-US"/>
      </w:rPr>
    </w:lvl>
    <w:lvl w:ilvl="2">
      <w:start w:val="1"/>
      <w:numFmt w:val="lowerRoman"/>
      <w:lvlText w:val="%3."/>
      <w:lvlJc w:val="left"/>
      <w:pPr>
        <w:tabs>
          <w:tab w:val="num" w:pos="2160"/>
        </w:tabs>
        <w:ind w:left="2160" w:hanging="296"/>
      </w:pPr>
      <w:rPr>
        <w:rFonts w:ascii="Calibri" w:eastAsia="Calibri" w:hAnsi="Calibri" w:cs="Calibri"/>
        <w:b/>
        <w:bCs/>
        <w:position w:val="0"/>
        <w:sz w:val="24"/>
        <w:szCs w:val="24"/>
        <w:lang w:val="en-US"/>
      </w:rPr>
    </w:lvl>
    <w:lvl w:ilvl="3">
      <w:start w:val="1"/>
      <w:numFmt w:val="decimal"/>
      <w:lvlText w:val="%4."/>
      <w:lvlJc w:val="left"/>
      <w:pPr>
        <w:tabs>
          <w:tab w:val="num" w:pos="2880"/>
        </w:tabs>
        <w:ind w:left="2880" w:hanging="360"/>
      </w:pPr>
      <w:rPr>
        <w:rFonts w:ascii="Calibri" w:eastAsia="Calibri" w:hAnsi="Calibri" w:cs="Calibri"/>
        <w:b/>
        <w:bCs/>
        <w:position w:val="0"/>
        <w:sz w:val="24"/>
        <w:szCs w:val="24"/>
        <w:lang w:val="en-US"/>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lang w:val="en-US"/>
      </w:rPr>
    </w:lvl>
    <w:lvl w:ilvl="5">
      <w:start w:val="1"/>
      <w:numFmt w:val="lowerRoman"/>
      <w:lvlText w:val="%6."/>
      <w:lvlJc w:val="left"/>
      <w:pPr>
        <w:tabs>
          <w:tab w:val="num" w:pos="4320"/>
        </w:tabs>
        <w:ind w:left="4320" w:hanging="296"/>
      </w:pPr>
      <w:rPr>
        <w:rFonts w:ascii="Calibri" w:eastAsia="Calibri" w:hAnsi="Calibri" w:cs="Calibri"/>
        <w:b/>
        <w:bCs/>
        <w:position w:val="0"/>
        <w:sz w:val="24"/>
        <w:szCs w:val="24"/>
        <w:lang w:val="en-US"/>
      </w:rPr>
    </w:lvl>
    <w:lvl w:ilvl="6">
      <w:start w:val="1"/>
      <w:numFmt w:val="decimal"/>
      <w:lvlText w:val="%7."/>
      <w:lvlJc w:val="left"/>
      <w:pPr>
        <w:tabs>
          <w:tab w:val="num" w:pos="5040"/>
        </w:tabs>
        <w:ind w:left="5040" w:hanging="360"/>
      </w:pPr>
      <w:rPr>
        <w:rFonts w:ascii="Calibri" w:eastAsia="Calibri" w:hAnsi="Calibri" w:cs="Calibri"/>
        <w:b/>
        <w:bCs/>
        <w:position w:val="0"/>
        <w:sz w:val="24"/>
        <w:szCs w:val="24"/>
        <w:lang w:val="en-US"/>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lang w:val="en-US"/>
      </w:rPr>
    </w:lvl>
    <w:lvl w:ilvl="8">
      <w:start w:val="1"/>
      <w:numFmt w:val="lowerRoman"/>
      <w:lvlText w:val="%9."/>
      <w:lvlJc w:val="left"/>
      <w:pPr>
        <w:tabs>
          <w:tab w:val="num" w:pos="6480"/>
        </w:tabs>
        <w:ind w:left="6480" w:hanging="296"/>
      </w:pPr>
      <w:rPr>
        <w:rFonts w:ascii="Calibri" w:eastAsia="Calibri" w:hAnsi="Calibri" w:cs="Calibri"/>
        <w:b/>
        <w:bCs/>
        <w:position w:val="0"/>
        <w:sz w:val="24"/>
        <w:szCs w:val="24"/>
        <w:lang w:val="en-US"/>
      </w:rPr>
    </w:lvl>
  </w:abstractNum>
  <w:num w:numId="1">
    <w:abstractNumId w:val="8"/>
  </w:num>
  <w:num w:numId="2">
    <w:abstractNumId w:val="2"/>
  </w:num>
  <w:num w:numId="3">
    <w:abstractNumId w:val="16"/>
  </w:num>
  <w:num w:numId="4">
    <w:abstractNumId w:val="1"/>
  </w:num>
  <w:num w:numId="5">
    <w:abstractNumId w:val="12"/>
  </w:num>
  <w:num w:numId="6">
    <w:abstractNumId w:val="0"/>
  </w:num>
  <w:num w:numId="7">
    <w:abstractNumId w:val="15"/>
  </w:num>
  <w:num w:numId="8">
    <w:abstractNumId w:val="17"/>
  </w:num>
  <w:num w:numId="9">
    <w:abstractNumId w:val="7"/>
  </w:num>
  <w:num w:numId="10">
    <w:abstractNumId w:val="6"/>
  </w:num>
  <w:num w:numId="11">
    <w:abstractNumId w:val="5"/>
  </w:num>
  <w:num w:numId="12">
    <w:abstractNumId w:val="10"/>
  </w:num>
  <w:num w:numId="13">
    <w:abstractNumId w:val="11"/>
  </w:num>
  <w:num w:numId="14">
    <w:abstractNumId w:val="4"/>
  </w:num>
  <w:num w:numId="15">
    <w:abstractNumId w:val="14"/>
  </w:num>
  <w:num w:numId="16">
    <w:abstractNumId w:val="13"/>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3529E"/>
    <w:rsid w:val="00015B25"/>
    <w:rsid w:val="000A6107"/>
    <w:rsid w:val="000F77C0"/>
    <w:rsid w:val="001126A8"/>
    <w:rsid w:val="001A10A4"/>
    <w:rsid w:val="001B5D77"/>
    <w:rsid w:val="0022756B"/>
    <w:rsid w:val="0023529E"/>
    <w:rsid w:val="00275CC8"/>
    <w:rsid w:val="003C10F7"/>
    <w:rsid w:val="00410584"/>
    <w:rsid w:val="00417FAC"/>
    <w:rsid w:val="004736B0"/>
    <w:rsid w:val="00491542"/>
    <w:rsid w:val="006E5BFC"/>
    <w:rsid w:val="006F575E"/>
    <w:rsid w:val="0072650B"/>
    <w:rsid w:val="007664E2"/>
    <w:rsid w:val="00792AAC"/>
    <w:rsid w:val="007E27A0"/>
    <w:rsid w:val="008C1A9B"/>
    <w:rsid w:val="008C786E"/>
    <w:rsid w:val="00A65910"/>
    <w:rsid w:val="00AC55B2"/>
    <w:rsid w:val="00AF11EB"/>
    <w:rsid w:val="00B823AD"/>
    <w:rsid w:val="00B87B71"/>
    <w:rsid w:val="00BA2165"/>
    <w:rsid w:val="00BA3244"/>
    <w:rsid w:val="00BD79D7"/>
    <w:rsid w:val="00C75999"/>
    <w:rsid w:val="00D72787"/>
    <w:rsid w:val="00E66488"/>
    <w:rsid w:val="00E745D8"/>
    <w:rsid w:val="00F47C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66D7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FootnoteText">
    <w:name w:val="footnote text"/>
    <w:rPr>
      <w:rFonts w:ascii="Calibri" w:eastAsia="Calibri" w:hAnsi="Calibri" w:cs="Calibri"/>
      <w:color w:val="000000"/>
      <w:u w:color="000000"/>
      <w:lang w:val="es-ES_tradnl"/>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List0">
    <w:name w:val="List 0"/>
    <w:basedOn w:val="ImportedStyle1"/>
    <w:pPr>
      <w:numPr>
        <w:numId w:val="16"/>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numbering" w:customStyle="1" w:styleId="List1">
    <w:name w:val="List 1"/>
    <w:basedOn w:val="ImportedStyle2"/>
    <w:pPr>
      <w:numPr>
        <w:numId w:val="8"/>
      </w:numPr>
    </w:pPr>
  </w:style>
  <w:style w:type="numbering" w:customStyle="1" w:styleId="ImportedStyle2">
    <w:name w:val="Imported Style 2"/>
  </w:style>
  <w:style w:type="numbering" w:customStyle="1" w:styleId="Liste21">
    <w:name w:val="Liste 21"/>
    <w:basedOn w:val="ImportedStyle1"/>
    <w:pPr>
      <w:numPr>
        <w:numId w:val="18"/>
      </w:numPr>
    </w:pPr>
  </w:style>
  <w:style w:type="paragraph" w:styleId="BalloonText">
    <w:name w:val="Balloon Text"/>
    <w:basedOn w:val="Normal"/>
    <w:link w:val="BalloonTextChar"/>
    <w:uiPriority w:val="99"/>
    <w:semiHidden/>
    <w:unhideWhenUsed/>
    <w:rsid w:val="006F57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575E"/>
    <w:rPr>
      <w:rFonts w:ascii="Lucida Grande" w:hAnsi="Lucida Grande" w:cs="Lucida Grande"/>
      <w:sz w:val="18"/>
      <w:szCs w:val="18"/>
      <w:lang w:val="en-US" w:eastAsia="en-US"/>
    </w:rPr>
  </w:style>
  <w:style w:type="paragraph" w:styleId="Revision">
    <w:name w:val="Revision"/>
    <w:hidden/>
    <w:uiPriority w:val="99"/>
    <w:semiHidden/>
    <w:rsid w:val="00B823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ica.gob.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9249</Characters>
  <Application>Microsoft Macintosh Word</Application>
  <DocSecurity>0</DocSecurity>
  <Lines>77</Lines>
  <Paragraphs>21</Paragraphs>
  <ScaleCrop>false</ScaleCrop>
  <Company>Farm Europe</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Vernet Luc</cp:lastModifiedBy>
  <cp:revision>2</cp:revision>
  <cp:lastPrinted>2017-05-12T08:03:00Z</cp:lastPrinted>
  <dcterms:created xsi:type="dcterms:W3CDTF">2017-12-22T16:17:00Z</dcterms:created>
  <dcterms:modified xsi:type="dcterms:W3CDTF">2017-12-22T16:17:00Z</dcterms:modified>
</cp:coreProperties>
</file>